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rPr>
        <w:t>10</w:t>
      </w:r>
      <w:r>
        <w:rPr>
          <w:rFonts w:hint="eastAsia" w:ascii="Arial" w:hAnsi="Arial" w:cs="Arial"/>
          <w:b/>
          <w:sz w:val="24"/>
          <w:szCs w:val="24"/>
          <w:lang w:val="en-US" w:eastAsia="zh-CN"/>
        </w:rPr>
        <w:t>4bis</w:t>
      </w:r>
      <w:r>
        <w:rPr>
          <w:rFonts w:ascii="Arial" w:hAnsi="Arial" w:cs="Arial"/>
          <w:b/>
          <w:sz w:val="24"/>
          <w:szCs w:val="24"/>
        </w:rPr>
        <w:t>-e</w:t>
      </w:r>
      <w:r>
        <w:rPr>
          <w:rFonts w:hint="eastAsia" w:ascii="Arial" w:hAnsi="Arial" w:cs="Arial"/>
          <w:b/>
          <w:sz w:val="24"/>
          <w:szCs w:val="24"/>
          <w:highlight w:val="none"/>
        </w:rPr>
        <w:t xml:space="preserve">                               R4-2216557</w:t>
      </w:r>
      <w:bookmarkStart w:id="95" w:name="_GoBack"/>
      <w:bookmarkEnd w:id="95"/>
      <w:r>
        <w:rPr>
          <w:rFonts w:hint="eastAsia" w:ascii="Arial" w:hAnsi="Arial" w:cs="Arial"/>
          <w:b/>
          <w:sz w:val="24"/>
          <w:szCs w:val="24"/>
          <w:highlight w:val="none"/>
        </w:rPr>
        <w:t xml:space="preserve">                         </w:t>
      </w:r>
    </w:p>
    <w:p>
      <w:pPr>
        <w:tabs>
          <w:tab w:val="left" w:pos="1985"/>
        </w:tabs>
        <w:spacing w:after="180"/>
        <w:ind w:left="1980" w:hanging="1980"/>
        <w:rPr>
          <w:rFonts w:hint="eastAsia" w:ascii="Arial" w:hAnsi="Arial" w:eastAsia="宋体" w:cs="Arial"/>
          <w:b/>
          <w:sz w:val="24"/>
          <w:szCs w:val="24"/>
          <w:highlight w:val="none"/>
          <w:lang w:eastAsia="zh-CN"/>
        </w:rPr>
      </w:pPr>
      <w:r>
        <w:rPr>
          <w:rFonts w:hint="eastAsia" w:ascii="Arial" w:hAnsi="Arial" w:eastAsia="MS Mincho" w:cs="Arial"/>
          <w:b/>
          <w:sz w:val="24"/>
          <w:szCs w:val="24"/>
          <w:highlight w:val="none"/>
          <w:lang w:eastAsia="en-US"/>
        </w:rPr>
        <w:t>E-meeting,</w:t>
      </w:r>
      <w:r>
        <w:rPr>
          <w:rFonts w:hint="eastAsia" w:ascii="Arial" w:hAnsi="Arial" w:eastAsia="宋体" w:cs="Arial"/>
          <w:b/>
          <w:sz w:val="24"/>
          <w:szCs w:val="24"/>
          <w:highlight w:val="none"/>
          <w:lang w:val="en-US" w:eastAsia="zh-CN"/>
        </w:rPr>
        <w:t>1</w:t>
      </w:r>
      <w:r>
        <w:rPr>
          <w:rFonts w:hint="eastAsia" w:ascii="Arial" w:hAnsi="Arial" w:cs="Arial"/>
          <w:b/>
          <w:sz w:val="24"/>
          <w:szCs w:val="24"/>
          <w:highlight w:val="none"/>
          <w:lang w:val="en-US" w:eastAsia="zh-CN"/>
        </w:rPr>
        <w:t>1</w:t>
      </w:r>
      <w:r>
        <w:rPr>
          <w:rFonts w:hint="eastAsia" w:ascii="Arial" w:hAnsi="Arial" w:cs="Arial"/>
          <w:b/>
          <w:sz w:val="24"/>
          <w:szCs w:val="24"/>
          <w:highlight w:val="none"/>
          <w:vertAlign w:val="superscript"/>
          <w:lang w:val="en-US" w:eastAsia="zh-CN"/>
        </w:rPr>
        <w:t>th</w:t>
      </w:r>
      <w:r>
        <w:rPr>
          <w:rFonts w:hint="eastAsia" w:ascii="Arial" w:hAnsi="Arial" w:eastAsia="MS Mincho" w:cs="Arial"/>
          <w:b/>
          <w:sz w:val="24"/>
          <w:szCs w:val="24"/>
          <w:highlight w:val="none"/>
          <w:lang w:eastAsia="en-US"/>
        </w:rPr>
        <w:t xml:space="preserve"> </w:t>
      </w:r>
      <w:r>
        <w:rPr>
          <w:rFonts w:hint="eastAsia" w:ascii="Arial" w:hAnsi="Arial" w:eastAsia="宋体" w:cs="Arial"/>
          <w:b/>
          <w:sz w:val="24"/>
          <w:szCs w:val="24"/>
          <w:highlight w:val="none"/>
          <w:lang w:val="en-US" w:eastAsia="zh-CN"/>
        </w:rPr>
        <w:t>Oct</w:t>
      </w:r>
      <w:r>
        <w:rPr>
          <w:rFonts w:ascii="Arial" w:hAnsi="Arial" w:cs="Arial"/>
          <w:b/>
          <w:bCs/>
          <w:sz w:val="24"/>
          <w:szCs w:val="24"/>
        </w:rPr>
        <w:t xml:space="preserve"> – </w:t>
      </w:r>
      <w:r>
        <w:rPr>
          <w:rFonts w:hint="eastAsia" w:ascii="Arial" w:hAnsi="Arial" w:cs="Arial"/>
          <w:b/>
          <w:bCs/>
          <w:sz w:val="24"/>
          <w:szCs w:val="24"/>
          <w:lang w:val="en-US" w:eastAsia="zh-CN"/>
        </w:rPr>
        <w:t>19</w:t>
      </w:r>
      <w:r>
        <w:rPr>
          <w:rFonts w:hint="eastAsia" w:ascii="Arial" w:hAnsi="Arial" w:cs="Arial"/>
          <w:b/>
          <w:bCs/>
          <w:sz w:val="24"/>
          <w:szCs w:val="24"/>
          <w:vertAlign w:val="superscript"/>
          <w:lang w:val="en-US" w:eastAsia="zh-CN"/>
        </w:rPr>
        <w:t>th</w:t>
      </w:r>
      <w:r>
        <w:rPr>
          <w:rFonts w:ascii="Arial" w:hAnsi="Arial" w:cs="Arial"/>
          <w:b/>
          <w:bCs/>
          <w:sz w:val="24"/>
          <w:szCs w:val="24"/>
        </w:rPr>
        <w:t xml:space="preserve"> </w:t>
      </w:r>
      <w:r>
        <w:rPr>
          <w:rFonts w:hint="eastAsia" w:ascii="Arial" w:hAnsi="Arial" w:cs="Arial"/>
          <w:b/>
          <w:bCs/>
          <w:sz w:val="24"/>
          <w:szCs w:val="24"/>
          <w:lang w:val="en-US" w:eastAsia="zh-CN"/>
        </w:rPr>
        <w:t>Oct,</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2</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6.22.2</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D</w:t>
      </w:r>
      <w:r>
        <w:rPr>
          <w:rFonts w:hint="eastAsia" w:ascii="Arial" w:hAnsi="Arial" w:eastAsia="宋体" w:cs="Arial"/>
          <w:b/>
          <w:sz w:val="24"/>
          <w:szCs w:val="24"/>
          <w:highlight w:val="none"/>
          <w:lang w:val="en-US" w:eastAsia="zh-CN"/>
        </w:rPr>
        <w:t xml:space="preserve">iscussion on coexistence evaluation for </w:t>
      </w:r>
      <w:r>
        <w:rPr>
          <w:rFonts w:hint="eastAsia" w:ascii="Arial" w:hAnsi="Arial" w:cs="Arial"/>
          <w:b/>
          <w:sz w:val="24"/>
          <w:szCs w:val="24"/>
          <w:highlight w:val="none"/>
          <w:lang w:val="en-US" w:eastAsia="zh-CN"/>
        </w:rPr>
        <w:t>NTN in Ka-band</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lang w:val="en-US" w:eastAsia="zh-CN"/>
        </w:rPr>
        <w:t>Approval</w:t>
      </w:r>
      <w:r>
        <w:rPr>
          <w:rFonts w:hint="eastAsia" w:ascii="Arial" w:hAnsi="Arial" w:cs="Arial"/>
          <w:b/>
          <w:sz w:val="24"/>
          <w:szCs w:val="24"/>
          <w:highlight w:val="none"/>
        </w:rPr>
        <w:t xml:space="preserve">  </w:t>
      </w:r>
    </w:p>
    <w:p>
      <w:pPr>
        <w:pStyle w:val="56"/>
        <w:tabs>
          <w:tab w:val="left" w:pos="567"/>
          <w:tab w:val="clear" w:pos="1985"/>
        </w:tabs>
        <w:adjustRightInd w:val="0"/>
        <w:ind w:left="510" w:hanging="510"/>
        <w:rPr>
          <w:highlight w:val="none"/>
        </w:rPr>
      </w:pPr>
      <w:r>
        <w:rPr>
          <w:highlight w:val="none"/>
        </w:rPr>
        <w:t>Introduction</w:t>
      </w:r>
    </w:p>
    <w:p>
      <w:pPr>
        <w:keepNext w:val="0"/>
        <w:keepLines w:val="0"/>
        <w:pageBreakBefore w:val="0"/>
        <w:widowControl w:val="0"/>
        <w:pBdr>
          <w:top w:val="none" w:color="auto" w:sz="0" w:space="0"/>
          <w:left w:val="none" w:color="auto" w:sz="0" w:space="0"/>
          <w:bottom w:val="single" w:color="auto" w:sz="4" w:space="0"/>
          <w:right w:val="none" w:color="auto" w:sz="0" w:space="0"/>
          <w:between w:val="none" w:color="auto" w:sz="0" w:space="0"/>
        </w:pBdr>
        <w:tabs>
          <w:tab w:val="left" w:pos="2127"/>
        </w:tabs>
        <w:kinsoku/>
        <w:wordWrap/>
        <w:overflowPunct/>
        <w:topLinePunct w:val="0"/>
        <w:autoSpaceDE/>
        <w:autoSpaceDN/>
        <w:bidi w:val="0"/>
        <w:adjustRightInd/>
        <w:snapToGrid/>
        <w:spacing w:after="0"/>
        <w:ind w:left="0" w:firstLine="0"/>
        <w:jc w:val="both"/>
        <w:textAlignment w:val="auto"/>
        <w:outlineLvl w:val="9"/>
        <w:rPr>
          <w:rFonts w:hint="default" w:cs="Times New Roman"/>
          <w:kern w:val="2"/>
          <w:sz w:val="21"/>
          <w:szCs w:val="22"/>
          <w:highlight w:val="none"/>
          <w:lang w:val="en-US" w:eastAsia="zh-CN" w:bidi="ar-SA"/>
        </w:rPr>
      </w:pPr>
      <w:r>
        <w:rPr>
          <w:rFonts w:hint="eastAsia" w:cs="Times New Roman"/>
          <w:kern w:val="2"/>
          <w:sz w:val="21"/>
          <w:szCs w:val="22"/>
          <w:highlight w:val="none"/>
          <w:lang w:val="en-US" w:eastAsia="zh-CN" w:bidi="ar-SA"/>
        </w:rPr>
        <w:t>In RAN#92e meeting, the work item [</w:t>
      </w:r>
      <w:r>
        <w:rPr>
          <w:rFonts w:hint="eastAsia" w:ascii="Times New Roman" w:hAnsi="Times New Roman" w:eastAsia="宋体" w:cs="Times New Roman"/>
          <w:sz w:val="20"/>
          <w:szCs w:val="20"/>
          <w:highlight w:val="none"/>
          <w:lang w:val="en-US" w:eastAsia="zh-CN"/>
        </w:rPr>
        <w:t>RP-221819</w:t>
      </w:r>
      <w:r>
        <w:rPr>
          <w:rFonts w:hint="eastAsia" w:cs="Times New Roman"/>
          <w:kern w:val="2"/>
          <w:sz w:val="21"/>
          <w:szCs w:val="22"/>
          <w:highlight w:val="none"/>
          <w:lang w:val="en-US" w:eastAsia="zh-CN" w:bidi="ar-SA"/>
        </w:rPr>
        <w:t xml:space="preserve">] on </w:t>
      </w:r>
      <w:r>
        <w:rPr>
          <w:rFonts w:hint="eastAsia" w:ascii="Times New Roman" w:hAnsi="Times New Roman" w:eastAsia="宋体" w:cs="Times New Roman"/>
          <w:sz w:val="20"/>
          <w:szCs w:val="20"/>
          <w:highlight w:val="none"/>
          <w:lang w:val="en-US" w:eastAsia="zh-CN"/>
        </w:rPr>
        <w:t>NR NTN (Non-Terrestrial Networks) enhancements</w:t>
      </w:r>
      <w:r>
        <w:rPr>
          <w:rFonts w:hint="eastAsia" w:cs="Times New Roman"/>
          <w:kern w:val="2"/>
          <w:sz w:val="21"/>
          <w:szCs w:val="22"/>
          <w:highlight w:val="none"/>
          <w:lang w:val="en-US" w:eastAsia="zh-CN" w:bidi="ar-SA"/>
        </w:rPr>
        <w:t xml:space="preserve"> was approved as one of Rel-18 RAN1/2/3 package. In this contribution, we want to share some initial views on the coexistence study for NTN in Ka-band.</w:t>
      </w:r>
    </w:p>
    <w:p>
      <w:pPr>
        <w:spacing w:after="0"/>
        <w:rPr>
          <w:bCs/>
        </w:rPr>
      </w:pPr>
      <w:r>
        <w:rPr>
          <w:bCs/>
        </w:rPr>
        <w:t>The following covers the objectives for NR-NTN deployment in above 10 GHz bands. This work is expected to start after June 2022.</w:t>
      </w:r>
    </w:p>
    <w:p>
      <w:pPr>
        <w:spacing w:after="0"/>
        <w:rPr>
          <w:bCs/>
        </w:rPr>
      </w:pPr>
    </w:p>
    <w:p>
      <w:pPr>
        <w:numPr>
          <w:ilvl w:val="0"/>
          <w:numId w:val="2"/>
        </w:numPr>
        <w:spacing w:after="0"/>
        <w:rPr>
          <w:bCs/>
        </w:rPr>
      </w:pPr>
      <w:r>
        <w:rPr>
          <w:bCs/>
        </w:rPr>
        <w:t>Study and identify NTN example band: Analysis of regulations and adjacent channel co-existence scenarios. The example band shall be identified early in the WI. Additional bands can be introduced in a release-independent manner. [RAN4]</w:t>
      </w:r>
    </w:p>
    <w:p>
      <w:pPr>
        <w:numPr>
          <w:ilvl w:val="1"/>
          <w:numId w:val="2"/>
        </w:numPr>
        <w:spacing w:after="0"/>
        <w:rPr>
          <w:bCs/>
        </w:rPr>
      </w:pPr>
      <w:r>
        <w:rPr>
          <w:bCs/>
        </w:rPr>
        <w:t>Consider the satellite harmonized Ka band as a reference, according to ITU allocation; taking into account deployment type (e.g. VSAT, ESIM), scenarios, and ITU-R/regional regulations, define an example band suitable for development of generic 3GPP minimum performance requirements (the example RAN4 band may be a portion of or the entire harmonized Ka band). [RAN4]</w:t>
      </w:r>
    </w:p>
    <w:p>
      <w:pPr>
        <w:numPr>
          <w:ilvl w:val="1"/>
          <w:numId w:val="2"/>
        </w:numPr>
        <w:spacing w:after="0"/>
        <w:rPr>
          <w:bCs/>
        </w:rPr>
      </w:pPr>
      <w:r>
        <w:rPr>
          <w:bCs/>
        </w:rPr>
        <w:t>Study implications of FDD operation in FR2 and derive requirements for the identified example band appropriately. Satellite bands introduced in 3GPP for NTN for FDD shall not impact the existing 3GPP TDD specifications for terrestrial bands adjacent to the NTN band (see note 3 of the approved way forward RP-211596 in RAN#92-e). [RAN4]</w:t>
      </w:r>
    </w:p>
    <w:p>
      <w:pPr>
        <w:numPr>
          <w:ilvl w:val="1"/>
          <w:numId w:val="2"/>
        </w:numPr>
        <w:spacing w:after="0"/>
        <w:rPr>
          <w:bCs/>
        </w:rPr>
      </w:pPr>
      <w:r>
        <w:rPr>
          <w:bCs/>
        </w:rPr>
        <w:t>Relevant coexistence scenarios and analysis to be considered in RAN4, if and where applicable, to ensure that satellite bands introduced in 3GPP for NTN shall not impact the existing specifications and shall not cause degradation (in the sense of RAN4 co-existence studies) to networks in 3GPP specified terrestrial bands adjacent to the NTN band. In that, it is assumed that the NTN-TN adjacent band coexistence will be performed at the harmonized Ka band edges</w:t>
      </w:r>
      <w:bookmarkStart w:id="1" w:name="_Hlk90540445"/>
      <w:r>
        <w:rPr>
          <w:bCs/>
        </w:rPr>
        <w:t>. The outcome is expected to be applicable to all NTN-TN adjacent band scenarios (if any) in the whole Ka band range where applicable and regulations allow.</w:t>
      </w:r>
      <w:bookmarkEnd w:id="1"/>
      <w:r>
        <w:rPr>
          <w:bCs/>
        </w:rPr>
        <w:t xml:space="preserve"> [RAN4]</w:t>
      </w:r>
    </w:p>
    <w:p>
      <w:pPr>
        <w:numPr>
          <w:ilvl w:val="1"/>
          <w:numId w:val="2"/>
        </w:numPr>
        <w:spacing w:after="0"/>
        <w:rPr>
          <w:bCs/>
        </w:rPr>
      </w:pPr>
      <w:r>
        <w:rPr>
          <w:bCs/>
        </w:rPr>
        <w:t>For all the above, RAN4 process as agreed for NTN in FR1 should be used for coexistence analysis in above 10 GHz bands [RAN4].</w:t>
      </w:r>
    </w:p>
    <w:p>
      <w:pPr>
        <w:widowControl/>
        <w:numPr>
          <w:ilvl w:val="1"/>
          <w:numId w:val="2"/>
        </w:numPr>
        <w:overflowPunct/>
        <w:autoSpaceDE/>
        <w:autoSpaceDN/>
        <w:adjustRightInd/>
        <w:spacing w:after="0"/>
        <w:jc w:val="left"/>
        <w:textAlignment w:val="auto"/>
      </w:pPr>
      <w:r>
        <w:rPr>
          <w:bCs/>
        </w:rPr>
        <w:t xml:space="preserve">Definition of NTN band(s) above 10 GHz does not change the current FR1/FR2 definition, nor automatically apply to future terrestrial bands defined in this frequency region; (see proposal 2 of the approved way forward </w:t>
      </w:r>
      <w:bookmarkStart w:id="2" w:name="_Hlk89787333"/>
      <w:r>
        <w:rPr>
          <w:bCs/>
        </w:rPr>
        <w:t xml:space="preserve">RP-211596 </w:t>
      </w:r>
      <w:bookmarkEnd w:id="2"/>
      <w:r>
        <w:rPr>
          <w:bCs/>
        </w:rPr>
        <w:t>in RAN#92-e) [RAN4]</w:t>
      </w:r>
    </w:p>
    <w:p>
      <w:pPr>
        <w:pStyle w:val="56"/>
        <w:keepNext/>
        <w:keepLines/>
        <w:pageBreakBefore w:val="0"/>
        <w:widowControl/>
        <w:tabs>
          <w:tab w:val="left" w:pos="567"/>
          <w:tab w:val="clear" w:pos="1985"/>
        </w:tabs>
        <w:kinsoku/>
        <w:wordWrap/>
        <w:overflowPunct/>
        <w:topLinePunct w:val="0"/>
        <w:autoSpaceDE/>
        <w:autoSpaceDN/>
        <w:bidi w:val="0"/>
        <w:adjustRightInd w:val="0"/>
        <w:snapToGrid/>
        <w:ind w:left="510" w:hanging="510"/>
        <w:textAlignment w:val="auto"/>
        <w:rPr>
          <w:rFonts w:hint="eastAsia" w:eastAsia="Times New Roman"/>
          <w:highlight w:val="none"/>
          <w:lang w:val="en-US" w:eastAsia="zh-CN"/>
        </w:rPr>
      </w:pPr>
      <w:r>
        <w:rPr>
          <w:rFonts w:hint="eastAsia"/>
          <w:highlight w:val="none"/>
        </w:rPr>
        <w:t xml:space="preserve">Discussion </w:t>
      </w:r>
      <w:bookmarkStart w:id="3" w:name="OLE_LINK10"/>
      <w:bookmarkStart w:id="4" w:name="OLE_LINK20"/>
      <w:bookmarkStart w:id="5" w:name="OLE_LINK14"/>
      <w:bookmarkStart w:id="6" w:name="OLE_LINK13"/>
      <w:r>
        <w:rPr>
          <w:rFonts w:hint="eastAsia" w:eastAsia="Times New Roman"/>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textAlignment w:val="auto"/>
        <w:outlineLvl w:val="1"/>
        <w:rPr>
          <w:rFonts w:hint="default" w:ascii="Arial" w:hAnsi="Arial" w:cs="Arial"/>
          <w:sz w:val="28"/>
          <w:szCs w:val="28"/>
          <w:lang w:val="en-US" w:eastAsia="zh-CN"/>
        </w:rPr>
      </w:pPr>
      <w:r>
        <w:rPr>
          <w:rFonts w:hint="eastAsia" w:ascii="Arial" w:hAnsi="Arial" w:cs="Arial"/>
          <w:sz w:val="28"/>
          <w:szCs w:val="28"/>
          <w:lang w:val="en-US" w:eastAsia="zh-CN"/>
        </w:rPr>
        <w:t>2.1. Coexistence scenario</w:t>
      </w:r>
    </w:p>
    <w:p>
      <w:pPr>
        <w:autoSpaceDE/>
        <w:autoSpaceDN/>
        <w:adjustRightInd/>
        <w:snapToGrid/>
        <w:spacing w:before="0" w:beforeLines="-2147483648" w:after="0" w:afterLines="-2147483648" w:line="240" w:lineRule="auto"/>
        <w:jc w:val="left"/>
        <w:rPr>
          <w:rFonts w:hint="eastAsia"/>
          <w:sz w:val="21"/>
          <w:lang w:val="en-US" w:eastAsia="zh-CN"/>
        </w:rPr>
      </w:pPr>
      <w:r>
        <w:rPr>
          <w:rFonts w:hint="eastAsia"/>
          <w:sz w:val="21"/>
          <w:lang w:val="en-US" w:eastAsia="zh-CN"/>
        </w:rPr>
        <w:t>As indicated in the WID, RAN4 need to consider the coexistence study between Ka band and the TN bands. The detailed spectrum status between Ka band and surrounding TN bands are shown as following.</w:t>
      </w:r>
    </w:p>
    <w:p>
      <w:r>
        <w:drawing>
          <wp:inline distT="0" distB="0" distL="114300" distR="114300">
            <wp:extent cx="6182995" cy="2471420"/>
            <wp:effectExtent l="0" t="0" r="8255" b="508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5"/>
                    <a:stretch>
                      <a:fillRect/>
                    </a:stretch>
                  </pic:blipFill>
                  <pic:spPr>
                    <a:xfrm>
                      <a:off x="0" y="0"/>
                      <a:ext cx="6182995" cy="2471420"/>
                    </a:xfrm>
                    <a:prstGeom prst="rect">
                      <a:avLst/>
                    </a:prstGeom>
                    <a:noFill/>
                    <a:ln>
                      <a:noFill/>
                    </a:ln>
                  </pic:spPr>
                </pic:pic>
              </a:graphicData>
            </a:graphic>
          </wp:inline>
        </w:drawing>
      </w:r>
    </w:p>
    <w:p>
      <w:pPr>
        <w:autoSpaceDE/>
        <w:autoSpaceDN/>
        <w:adjustRightInd/>
        <w:snapToGrid/>
        <w:spacing w:before="0" w:beforeLines="-2147483648" w:after="0" w:afterLines="-2147483648" w:line="240" w:lineRule="auto"/>
        <w:jc w:val="center"/>
        <w:rPr>
          <w:rFonts w:hint="default"/>
          <w:sz w:val="20"/>
          <w:lang w:val="en-US" w:eastAsia="zh-CN"/>
        </w:rPr>
      </w:pPr>
      <w:r>
        <w:rPr>
          <w:rFonts w:hint="eastAsia"/>
          <w:b/>
          <w:bCs/>
          <w:sz w:val="20"/>
          <w:lang w:val="en-US" w:eastAsia="zh-CN"/>
        </w:rPr>
        <w:t>Figure 2.1-1. coexistence scenario for Ka band and other TN bands.</w:t>
      </w:r>
    </w:p>
    <w:p>
      <w:pPr>
        <w:rPr>
          <w:rFonts w:hint="eastAsia"/>
          <w:color w:val="auto"/>
          <w:lang w:val="en-US" w:eastAsia="zh-CN"/>
        </w:rPr>
      </w:pPr>
    </w:p>
    <w:p>
      <w:pPr>
        <w:autoSpaceDE/>
        <w:autoSpaceDN/>
        <w:adjustRightInd/>
        <w:snapToGrid/>
        <w:spacing w:before="0" w:beforeLines="-2147483648" w:after="0" w:afterLines="-2147483648" w:line="240" w:lineRule="auto"/>
        <w:jc w:val="left"/>
        <w:rPr>
          <w:rFonts w:hint="eastAsia"/>
          <w:sz w:val="21"/>
          <w:lang w:val="en-US" w:eastAsia="zh-CN"/>
        </w:rPr>
      </w:pPr>
      <w:r>
        <w:rPr>
          <w:rFonts w:hint="eastAsia"/>
          <w:sz w:val="21"/>
          <w:lang w:val="en-US" w:eastAsia="zh-CN"/>
        </w:rPr>
        <w:t>Based on the above adjacent spectrum for NTN Ka-band, then the coexistence scenario could be summarized as following.The aggressor and victim combinations are listed in Table 2.1-1.</w:t>
      </w:r>
    </w:p>
    <w:p>
      <w:pPr>
        <w:pStyle w:val="46"/>
        <w:rPr>
          <w:rFonts w:hint="default" w:eastAsia="宋体"/>
          <w:lang w:val="en-US" w:eastAsia="zh-CN"/>
        </w:rPr>
      </w:pPr>
      <w:r>
        <w:rPr>
          <w:lang w:val="zh-CN"/>
        </w:rPr>
        <w:t>T</w:t>
      </w:r>
      <w:r>
        <w:rPr>
          <w:rFonts w:hint="eastAsia"/>
          <w:lang w:val="zh-CN"/>
        </w:rPr>
        <w:t xml:space="preserve">able </w:t>
      </w:r>
      <w:r>
        <w:rPr>
          <w:rFonts w:hint="eastAsia"/>
          <w:lang w:val="en-US" w:eastAsia="zh-CN"/>
        </w:rPr>
        <w:t>2</w:t>
      </w:r>
      <w:r>
        <w:rPr>
          <w:rFonts w:hint="eastAsia"/>
          <w:lang w:val="zh-CN"/>
        </w:rPr>
        <w:t>.1-</w:t>
      </w:r>
      <w:r>
        <w:rPr>
          <w:rFonts w:hint="eastAsia"/>
          <w:lang w:val="en-US" w:eastAsia="zh-CN"/>
        </w:rPr>
        <w:t>1</w:t>
      </w:r>
      <w:r>
        <w:t>:</w:t>
      </w:r>
      <w:r>
        <w:rPr>
          <w:rFonts w:hint="eastAsia"/>
          <w:lang w:val="zh-CN"/>
        </w:rPr>
        <w:t xml:space="preserve"> </w:t>
      </w:r>
      <w:r>
        <w:rPr>
          <w:rFonts w:hint="eastAsia"/>
          <w:lang w:val="en-US" w:eastAsia="zh-CN"/>
        </w:rPr>
        <w:t xml:space="preserve">Coexistence scenario between Ka band NTN and TN </w:t>
      </w:r>
    </w:p>
    <w:tbl>
      <w:tblPr>
        <w:tblStyle w:val="9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
        <w:gridCol w:w="1538"/>
        <w:gridCol w:w="1305"/>
        <w:gridCol w:w="1040"/>
        <w:gridCol w:w="3664"/>
        <w:gridCol w:w="16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7" w:type="pct"/>
            <w:shd w:val="clear" w:color="auto" w:fill="auto"/>
          </w:tcPr>
          <w:p>
            <w:pPr>
              <w:pStyle w:val="36"/>
              <w:overflowPunct w:val="0"/>
              <w:autoSpaceDE w:val="0"/>
              <w:autoSpaceDN w:val="0"/>
              <w:adjustRightInd w:val="0"/>
              <w:spacing w:after="180"/>
              <w:textAlignment w:val="baseline"/>
              <w:rPr>
                <w:rFonts w:eastAsia="Yu Mincho"/>
              </w:rPr>
            </w:pPr>
            <w:bookmarkStart w:id="7" w:name="OLE_LINK6"/>
            <w:r>
              <w:rPr>
                <w:rFonts w:hint="eastAsia" w:eastAsia="Yu Mincho"/>
              </w:rPr>
              <w:t>No.</w:t>
            </w:r>
          </w:p>
        </w:tc>
        <w:tc>
          <w:tcPr>
            <w:tcW w:w="772" w:type="pct"/>
            <w:shd w:val="clear" w:color="auto" w:fill="auto"/>
          </w:tcPr>
          <w:p>
            <w:pPr>
              <w:pStyle w:val="36"/>
              <w:overflowPunct w:val="0"/>
              <w:autoSpaceDE w:val="0"/>
              <w:autoSpaceDN w:val="0"/>
              <w:adjustRightInd w:val="0"/>
              <w:spacing w:after="180"/>
              <w:textAlignment w:val="baseline"/>
              <w:rPr>
                <w:rFonts w:eastAsia="Yu Mincho"/>
              </w:rPr>
            </w:pPr>
            <w:r>
              <w:rPr>
                <w:rFonts w:eastAsia="Yu Mincho"/>
              </w:rPr>
              <w:t>Combination</w:t>
            </w:r>
          </w:p>
        </w:tc>
        <w:tc>
          <w:tcPr>
            <w:tcW w:w="655" w:type="pct"/>
            <w:shd w:val="clear" w:color="auto" w:fill="auto"/>
          </w:tcPr>
          <w:p>
            <w:pPr>
              <w:pStyle w:val="36"/>
              <w:overflowPunct w:val="0"/>
              <w:autoSpaceDE w:val="0"/>
              <w:autoSpaceDN w:val="0"/>
              <w:adjustRightInd w:val="0"/>
              <w:spacing w:after="180"/>
              <w:textAlignment w:val="baseline"/>
              <w:rPr>
                <w:rFonts w:eastAsia="Yu Mincho"/>
              </w:rPr>
            </w:pPr>
            <w:r>
              <w:rPr>
                <w:rFonts w:eastAsia="Yu Mincho"/>
              </w:rPr>
              <w:t>Aggressor</w:t>
            </w:r>
          </w:p>
        </w:tc>
        <w:tc>
          <w:tcPr>
            <w:tcW w:w="522" w:type="pct"/>
            <w:shd w:val="clear" w:color="auto" w:fill="auto"/>
          </w:tcPr>
          <w:p>
            <w:pPr>
              <w:pStyle w:val="36"/>
              <w:overflowPunct w:val="0"/>
              <w:autoSpaceDE w:val="0"/>
              <w:autoSpaceDN w:val="0"/>
              <w:adjustRightInd w:val="0"/>
              <w:spacing w:after="180"/>
              <w:textAlignment w:val="baseline"/>
              <w:rPr>
                <w:rFonts w:eastAsia="Yu Mincho"/>
              </w:rPr>
            </w:pPr>
            <w:r>
              <w:rPr>
                <w:rFonts w:eastAsia="Yu Mincho"/>
              </w:rPr>
              <w:t>Victim</w:t>
            </w:r>
          </w:p>
        </w:tc>
        <w:tc>
          <w:tcPr>
            <w:tcW w:w="1839" w:type="pct"/>
            <w:shd w:val="clear" w:color="auto" w:fill="auto"/>
          </w:tcPr>
          <w:p>
            <w:pPr>
              <w:pStyle w:val="36"/>
              <w:overflowPunct w:val="0"/>
              <w:autoSpaceDE w:val="0"/>
              <w:autoSpaceDN w:val="0"/>
              <w:adjustRightInd w:val="0"/>
              <w:spacing w:after="180"/>
              <w:textAlignment w:val="baseline"/>
              <w:rPr>
                <w:rFonts w:eastAsia="Yu Mincho"/>
              </w:rPr>
            </w:pPr>
            <w:r>
              <w:rPr>
                <w:rFonts w:eastAsia="Yu Mincho"/>
              </w:rPr>
              <w:t>Notes</w:t>
            </w:r>
          </w:p>
        </w:tc>
        <w:tc>
          <w:tcPr>
            <w:tcW w:w="812" w:type="pct"/>
            <w:shd w:val="clear" w:color="auto" w:fill="auto"/>
          </w:tcPr>
          <w:p>
            <w:pPr>
              <w:pStyle w:val="36"/>
              <w:overflowPunct w:val="0"/>
              <w:autoSpaceDE w:val="0"/>
              <w:autoSpaceDN w:val="0"/>
              <w:adjustRightInd w:val="0"/>
              <w:spacing w:after="180"/>
              <w:textAlignment w:val="baseline"/>
              <w:rPr>
                <w:rFonts w:eastAsia="Yu Mincho"/>
              </w:rPr>
            </w:pPr>
            <w:r>
              <w:rPr>
                <w:rFonts w:eastAsia="Yu Mincho"/>
              </w:rPr>
              <w:t>Study Phase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7" w:type="pct"/>
          </w:tcPr>
          <w:p>
            <w:pPr>
              <w:pStyle w:val="37"/>
              <w:overflowPunct w:val="0"/>
              <w:autoSpaceDE w:val="0"/>
              <w:autoSpaceDN w:val="0"/>
              <w:adjustRightInd w:val="0"/>
              <w:spacing w:after="180"/>
              <w:textAlignment w:val="baseline"/>
              <w:rPr>
                <w:rFonts w:hint="default" w:eastAsia="宋体"/>
                <w:lang w:val="en-US" w:eastAsia="zh-CN"/>
              </w:rPr>
            </w:pPr>
            <w:r>
              <w:rPr>
                <w:rFonts w:hint="eastAsia" w:eastAsia="Yu Mincho"/>
              </w:rPr>
              <w:t>1</w:t>
            </w:r>
            <w:r>
              <w:rPr>
                <w:rFonts w:hint="eastAsia" w:eastAsia="宋体"/>
                <w:lang w:val="en-US" w:eastAsia="zh-CN"/>
              </w:rPr>
              <w:t xml:space="preserve"> </w:t>
            </w:r>
          </w:p>
        </w:tc>
        <w:tc>
          <w:tcPr>
            <w:tcW w:w="772" w:type="pct"/>
          </w:tcPr>
          <w:p>
            <w:pPr>
              <w:pStyle w:val="37"/>
              <w:overflowPunct w:val="0"/>
              <w:autoSpaceDE w:val="0"/>
              <w:autoSpaceDN w:val="0"/>
              <w:adjustRightInd w:val="0"/>
              <w:spacing w:after="180"/>
              <w:textAlignment w:val="baseline"/>
              <w:rPr>
                <w:rFonts w:hint="default" w:eastAsia="宋体"/>
                <w:lang w:val="en-US" w:eastAsia="zh-CN"/>
              </w:rPr>
            </w:pPr>
            <w:r>
              <w:rPr>
                <w:rFonts w:hint="eastAsia" w:eastAsia="Yu Mincho"/>
              </w:rPr>
              <w:t xml:space="preserve">TN with </w:t>
            </w:r>
            <w:r>
              <w:rPr>
                <w:rFonts w:hint="eastAsia" w:eastAsia="宋体"/>
                <w:lang w:val="en-US" w:eastAsia="zh-CN"/>
              </w:rPr>
              <w:t>NTN</w:t>
            </w:r>
          </w:p>
        </w:tc>
        <w:tc>
          <w:tcPr>
            <w:tcW w:w="655" w:type="pct"/>
          </w:tcPr>
          <w:p>
            <w:pPr>
              <w:pStyle w:val="37"/>
              <w:overflowPunct w:val="0"/>
              <w:autoSpaceDE w:val="0"/>
              <w:autoSpaceDN w:val="0"/>
              <w:adjustRightInd w:val="0"/>
              <w:spacing w:after="180"/>
              <w:textAlignment w:val="baseline"/>
              <w:rPr>
                <w:rFonts w:hint="default" w:eastAsia="Yu Mincho"/>
                <w:lang w:val="en-US"/>
              </w:rPr>
            </w:pPr>
            <w:r>
              <w:rPr>
                <w:rFonts w:hint="eastAsia" w:eastAsia="宋体"/>
                <w:lang w:val="en-US" w:eastAsia="zh-CN"/>
              </w:rPr>
              <w:t>NTN UL</w:t>
            </w:r>
          </w:p>
        </w:tc>
        <w:tc>
          <w:tcPr>
            <w:tcW w:w="522" w:type="pct"/>
          </w:tcPr>
          <w:p>
            <w:pPr>
              <w:pStyle w:val="37"/>
              <w:overflowPunct w:val="0"/>
              <w:autoSpaceDE w:val="0"/>
              <w:autoSpaceDN w:val="0"/>
              <w:adjustRightInd w:val="0"/>
              <w:spacing w:after="180"/>
              <w:textAlignment w:val="baseline"/>
              <w:rPr>
                <w:rFonts w:hint="default" w:eastAsia="宋体"/>
                <w:lang w:val="en-US" w:eastAsia="zh-CN"/>
              </w:rPr>
            </w:pPr>
            <w:r>
              <w:rPr>
                <w:rFonts w:hint="eastAsia" w:eastAsia="宋体"/>
                <w:lang w:val="en-US" w:eastAsia="zh-CN"/>
              </w:rPr>
              <w:t>TN UL</w:t>
            </w:r>
          </w:p>
        </w:tc>
        <w:tc>
          <w:tcPr>
            <w:tcW w:w="1839" w:type="pct"/>
            <w:vAlign w:val="top"/>
          </w:tcPr>
          <w:p>
            <w:pPr>
              <w:pStyle w:val="38"/>
              <w:overflowPunct w:val="0"/>
              <w:autoSpaceDE w:val="0"/>
              <w:autoSpaceDN w:val="0"/>
              <w:adjustRightInd w:val="0"/>
              <w:spacing w:after="180"/>
              <w:textAlignment w:val="baseline"/>
              <w:rPr>
                <w:rFonts w:hint="default" w:ascii="Arial" w:hAnsi="Arial" w:eastAsia="宋体" w:cstheme="minorBidi"/>
                <w:b/>
                <w:kern w:val="2"/>
                <w:sz w:val="18"/>
                <w:szCs w:val="24"/>
                <w:lang w:val="en-US" w:eastAsia="zh-CN" w:bidi="ar-SA"/>
              </w:rPr>
            </w:pPr>
            <w:r>
              <w:rPr>
                <w:rFonts w:hint="eastAsia" w:eastAsia="宋体"/>
                <w:b w:val="0"/>
                <w:bCs/>
                <w:lang w:val="en-US" w:eastAsia="zh-CN"/>
              </w:rPr>
              <w:t>Applicable for n257, n258 and n261</w:t>
            </w:r>
          </w:p>
        </w:tc>
        <w:tc>
          <w:tcPr>
            <w:tcW w:w="812" w:type="pct"/>
          </w:tcPr>
          <w:p>
            <w:pPr>
              <w:pStyle w:val="37"/>
              <w:overflowPunct w:val="0"/>
              <w:autoSpaceDE w:val="0"/>
              <w:autoSpaceDN w:val="0"/>
              <w:adjustRightInd w:val="0"/>
              <w:spacing w:after="180"/>
              <w:textAlignment w:val="baseline"/>
              <w:rPr>
                <w:rFonts w:eastAsia="Yu Mincho"/>
              </w:rPr>
            </w:pPr>
            <w:r>
              <w:rPr>
                <w:rFonts w:eastAsia="Yu Mincho"/>
              </w:rP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7" w:type="pct"/>
          </w:tcPr>
          <w:p>
            <w:pPr>
              <w:pStyle w:val="37"/>
              <w:overflowPunct w:val="0"/>
              <w:autoSpaceDE w:val="0"/>
              <w:autoSpaceDN w:val="0"/>
              <w:adjustRightInd w:val="0"/>
              <w:spacing w:after="180"/>
              <w:textAlignment w:val="baseline"/>
              <w:rPr>
                <w:rFonts w:hint="default" w:eastAsia="宋体"/>
                <w:lang w:val="en-US" w:eastAsia="zh-CN"/>
              </w:rPr>
            </w:pPr>
            <w:r>
              <w:rPr>
                <w:rFonts w:hint="eastAsia" w:eastAsia="Yu Mincho"/>
              </w:rPr>
              <w:t>2</w:t>
            </w:r>
          </w:p>
        </w:tc>
        <w:tc>
          <w:tcPr>
            <w:tcW w:w="772" w:type="pct"/>
          </w:tcPr>
          <w:p>
            <w:pPr>
              <w:pStyle w:val="37"/>
              <w:overflowPunct w:val="0"/>
              <w:autoSpaceDE w:val="0"/>
              <w:autoSpaceDN w:val="0"/>
              <w:adjustRightInd w:val="0"/>
              <w:spacing w:after="180"/>
              <w:textAlignment w:val="baseline"/>
              <w:rPr>
                <w:rFonts w:eastAsia="Yu Mincho"/>
              </w:rPr>
            </w:pPr>
            <w:r>
              <w:rPr>
                <w:rFonts w:hint="eastAsia" w:eastAsia="Yu Mincho"/>
              </w:rPr>
              <w:t xml:space="preserve">TN with </w:t>
            </w:r>
            <w:r>
              <w:rPr>
                <w:rFonts w:hint="eastAsia" w:eastAsia="宋体"/>
                <w:lang w:val="en-US" w:eastAsia="zh-CN"/>
              </w:rPr>
              <w:t>NTN</w:t>
            </w:r>
          </w:p>
        </w:tc>
        <w:tc>
          <w:tcPr>
            <w:tcW w:w="655" w:type="pct"/>
          </w:tcPr>
          <w:p>
            <w:pPr>
              <w:pStyle w:val="37"/>
              <w:overflowPunct w:val="0"/>
              <w:autoSpaceDE w:val="0"/>
              <w:autoSpaceDN w:val="0"/>
              <w:adjustRightInd w:val="0"/>
              <w:spacing w:after="180"/>
              <w:textAlignment w:val="baseline"/>
              <w:rPr>
                <w:rFonts w:hint="default" w:eastAsia="宋体"/>
                <w:lang w:val="en-US" w:eastAsia="zh-CN"/>
              </w:rPr>
            </w:pPr>
            <w:r>
              <w:rPr>
                <w:rFonts w:hint="eastAsia" w:eastAsia="宋体"/>
                <w:lang w:val="en-US" w:eastAsia="zh-CN"/>
              </w:rPr>
              <w:t>TN UL</w:t>
            </w:r>
          </w:p>
        </w:tc>
        <w:tc>
          <w:tcPr>
            <w:tcW w:w="522" w:type="pct"/>
          </w:tcPr>
          <w:p>
            <w:pPr>
              <w:pStyle w:val="37"/>
              <w:overflowPunct w:val="0"/>
              <w:autoSpaceDE w:val="0"/>
              <w:autoSpaceDN w:val="0"/>
              <w:adjustRightInd w:val="0"/>
              <w:spacing w:after="180"/>
              <w:textAlignment w:val="baseline"/>
              <w:rPr>
                <w:rFonts w:hint="default" w:eastAsia="宋体"/>
                <w:lang w:val="en-US" w:eastAsia="zh-CN"/>
              </w:rPr>
            </w:pPr>
            <w:r>
              <w:rPr>
                <w:rFonts w:hint="eastAsia" w:eastAsia="宋体"/>
                <w:lang w:val="en-US" w:eastAsia="zh-CN"/>
              </w:rPr>
              <w:t>NTN UL</w:t>
            </w:r>
          </w:p>
        </w:tc>
        <w:tc>
          <w:tcPr>
            <w:tcW w:w="1839" w:type="pct"/>
            <w:vAlign w:val="top"/>
          </w:tcPr>
          <w:p>
            <w:pPr>
              <w:pStyle w:val="38"/>
              <w:overflowPunct w:val="0"/>
              <w:autoSpaceDE w:val="0"/>
              <w:autoSpaceDN w:val="0"/>
              <w:adjustRightInd w:val="0"/>
              <w:spacing w:after="180"/>
              <w:textAlignment w:val="baseline"/>
              <w:rPr>
                <w:rFonts w:hint="default" w:ascii="Arial" w:hAnsi="Arial" w:eastAsia="Yu Mincho" w:cstheme="minorBidi"/>
                <w:b/>
                <w:kern w:val="2"/>
                <w:sz w:val="18"/>
                <w:szCs w:val="24"/>
                <w:lang w:val="en-US" w:eastAsia="ja-JP" w:bidi="ar-SA"/>
              </w:rPr>
            </w:pPr>
            <w:r>
              <w:rPr>
                <w:rFonts w:hint="eastAsia" w:eastAsia="宋体"/>
                <w:b w:val="0"/>
                <w:bCs/>
                <w:lang w:val="en-US" w:eastAsia="zh-CN"/>
              </w:rPr>
              <w:t>Applicable for n257, n258 and n261</w:t>
            </w:r>
          </w:p>
        </w:tc>
        <w:tc>
          <w:tcPr>
            <w:tcW w:w="812" w:type="pct"/>
          </w:tcPr>
          <w:p>
            <w:pPr>
              <w:pStyle w:val="37"/>
              <w:overflowPunct w:val="0"/>
              <w:autoSpaceDE w:val="0"/>
              <w:autoSpaceDN w:val="0"/>
              <w:adjustRightInd w:val="0"/>
              <w:spacing w:after="180"/>
              <w:textAlignment w:val="baseline"/>
              <w:rPr>
                <w:rFonts w:eastAsia="Yu Mincho"/>
              </w:rPr>
            </w:pPr>
            <w:r>
              <w:rPr>
                <w:rFonts w:hint="eastAsia" w:eastAsia="Yu Mincho"/>
              </w:rPr>
              <w:t>P</w:t>
            </w:r>
            <w:r>
              <w:rPr>
                <w:rFonts w:eastAsia="Yu Mincho"/>
              </w:rPr>
              <w:t>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7" w:type="pct"/>
          </w:tcPr>
          <w:p>
            <w:pPr>
              <w:pStyle w:val="37"/>
              <w:overflowPunct w:val="0"/>
              <w:autoSpaceDE w:val="0"/>
              <w:autoSpaceDN w:val="0"/>
              <w:adjustRightInd w:val="0"/>
              <w:spacing w:after="180"/>
              <w:textAlignment w:val="baseline"/>
              <w:rPr>
                <w:rFonts w:hint="default" w:eastAsia="宋体"/>
                <w:lang w:val="en-US" w:eastAsia="zh-CN"/>
              </w:rPr>
            </w:pPr>
            <w:r>
              <w:rPr>
                <w:rFonts w:hint="eastAsia" w:eastAsia="Yu Mincho"/>
              </w:rPr>
              <w:t>3</w:t>
            </w:r>
          </w:p>
        </w:tc>
        <w:tc>
          <w:tcPr>
            <w:tcW w:w="772" w:type="pct"/>
            <w:vAlign w:val="top"/>
          </w:tcPr>
          <w:p>
            <w:pPr>
              <w:pStyle w:val="37"/>
              <w:overflowPunct w:val="0"/>
              <w:autoSpaceDE w:val="0"/>
              <w:autoSpaceDN w:val="0"/>
              <w:adjustRightInd w:val="0"/>
              <w:spacing w:after="180"/>
              <w:textAlignment w:val="baseline"/>
              <w:rPr>
                <w:rFonts w:ascii="Arial" w:hAnsi="Arial" w:eastAsia="Yu Mincho" w:cstheme="minorBidi"/>
                <w:kern w:val="2"/>
                <w:sz w:val="18"/>
                <w:szCs w:val="24"/>
                <w:lang w:val="en-US" w:eastAsia="zh-CN" w:bidi="ar-SA"/>
              </w:rPr>
            </w:pPr>
            <w:r>
              <w:rPr>
                <w:rFonts w:hint="eastAsia" w:eastAsia="Yu Mincho"/>
              </w:rPr>
              <w:t xml:space="preserve">TN with </w:t>
            </w:r>
            <w:r>
              <w:rPr>
                <w:rFonts w:hint="eastAsia" w:eastAsia="宋体"/>
                <w:lang w:val="en-US" w:eastAsia="zh-CN"/>
              </w:rPr>
              <w:t>NTN</w:t>
            </w:r>
          </w:p>
        </w:tc>
        <w:tc>
          <w:tcPr>
            <w:tcW w:w="655" w:type="pct"/>
            <w:vAlign w:val="top"/>
          </w:tcPr>
          <w:p>
            <w:pPr>
              <w:pStyle w:val="37"/>
              <w:overflowPunct w:val="0"/>
              <w:autoSpaceDE w:val="0"/>
              <w:autoSpaceDN w:val="0"/>
              <w:adjustRightInd w:val="0"/>
              <w:spacing w:after="180"/>
              <w:textAlignment w:val="baseline"/>
              <w:rPr>
                <w:rFonts w:hint="default" w:ascii="Arial" w:hAnsi="Arial" w:eastAsia="宋体" w:cstheme="minorBidi"/>
                <w:kern w:val="2"/>
                <w:sz w:val="18"/>
                <w:szCs w:val="24"/>
                <w:lang w:val="en-US" w:eastAsia="zh-CN" w:bidi="ar-SA"/>
              </w:rPr>
            </w:pPr>
            <w:r>
              <w:rPr>
                <w:rFonts w:hint="eastAsia" w:eastAsia="宋体"/>
                <w:lang w:val="en-US" w:eastAsia="zh-CN"/>
              </w:rPr>
              <w:t>NTN UL</w:t>
            </w:r>
          </w:p>
        </w:tc>
        <w:tc>
          <w:tcPr>
            <w:tcW w:w="522" w:type="pct"/>
            <w:vAlign w:val="top"/>
          </w:tcPr>
          <w:p>
            <w:pPr>
              <w:pStyle w:val="37"/>
              <w:overflowPunct w:val="0"/>
              <w:autoSpaceDE w:val="0"/>
              <w:autoSpaceDN w:val="0"/>
              <w:adjustRightInd w:val="0"/>
              <w:spacing w:after="180"/>
              <w:textAlignment w:val="baseline"/>
              <w:rPr>
                <w:rFonts w:hint="default" w:ascii="Arial" w:hAnsi="Arial" w:eastAsia="宋体" w:cstheme="minorBidi"/>
                <w:kern w:val="2"/>
                <w:sz w:val="18"/>
                <w:szCs w:val="24"/>
                <w:lang w:val="en-US" w:eastAsia="zh-CN" w:bidi="ar-SA"/>
              </w:rPr>
            </w:pPr>
            <w:r>
              <w:rPr>
                <w:rFonts w:hint="eastAsia" w:eastAsia="宋体"/>
                <w:lang w:val="en-US" w:eastAsia="zh-CN"/>
              </w:rPr>
              <w:t>TN DL</w:t>
            </w:r>
          </w:p>
        </w:tc>
        <w:tc>
          <w:tcPr>
            <w:tcW w:w="1839" w:type="pct"/>
            <w:vAlign w:val="top"/>
          </w:tcPr>
          <w:p>
            <w:pPr>
              <w:pStyle w:val="38"/>
              <w:overflowPunct w:val="0"/>
              <w:autoSpaceDE w:val="0"/>
              <w:autoSpaceDN w:val="0"/>
              <w:adjustRightInd w:val="0"/>
              <w:spacing w:after="180"/>
              <w:textAlignment w:val="baseline"/>
              <w:rPr>
                <w:rFonts w:hint="default" w:ascii="Arial" w:hAnsi="Arial" w:eastAsia="Yu Mincho" w:cstheme="minorBidi"/>
                <w:b/>
                <w:kern w:val="2"/>
                <w:sz w:val="18"/>
                <w:szCs w:val="24"/>
                <w:lang w:val="en-US" w:eastAsia="ja-JP" w:bidi="ar-SA"/>
              </w:rPr>
            </w:pPr>
            <w:r>
              <w:rPr>
                <w:rFonts w:hint="eastAsia" w:eastAsia="宋体"/>
                <w:b w:val="0"/>
                <w:bCs/>
                <w:lang w:val="en-US" w:eastAsia="zh-CN"/>
              </w:rPr>
              <w:t>Applicable for n257, n258 and n261</w:t>
            </w:r>
          </w:p>
        </w:tc>
        <w:tc>
          <w:tcPr>
            <w:tcW w:w="812" w:type="pct"/>
            <w:vAlign w:val="top"/>
          </w:tcPr>
          <w:p>
            <w:pPr>
              <w:pStyle w:val="37"/>
              <w:overflowPunct w:val="0"/>
              <w:autoSpaceDE w:val="0"/>
              <w:autoSpaceDN w:val="0"/>
              <w:adjustRightInd w:val="0"/>
              <w:spacing w:after="180"/>
              <w:textAlignment w:val="baseline"/>
              <w:rPr>
                <w:rFonts w:ascii="Arial" w:hAnsi="Arial" w:eastAsia="Yu Mincho" w:cstheme="minorBidi"/>
                <w:kern w:val="2"/>
                <w:sz w:val="18"/>
                <w:szCs w:val="24"/>
                <w:lang w:val="en-US" w:eastAsia="zh-CN" w:bidi="ar-SA"/>
              </w:rPr>
            </w:pPr>
            <w:r>
              <w:rPr>
                <w:rFonts w:hint="eastAsia" w:eastAsia="Yu Mincho"/>
              </w:rPr>
              <w:t>P</w:t>
            </w:r>
            <w:r>
              <w:rPr>
                <w:rFonts w:eastAsia="Yu Mincho"/>
              </w:rPr>
              <w:t>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7" w:type="pct"/>
          </w:tcPr>
          <w:p>
            <w:pPr>
              <w:pStyle w:val="37"/>
              <w:overflowPunct w:val="0"/>
              <w:autoSpaceDE w:val="0"/>
              <w:autoSpaceDN w:val="0"/>
              <w:adjustRightInd w:val="0"/>
              <w:spacing w:after="180"/>
              <w:textAlignment w:val="baseline"/>
              <w:rPr>
                <w:rFonts w:hint="default" w:eastAsia="宋体"/>
                <w:lang w:val="en-US" w:eastAsia="zh-CN"/>
              </w:rPr>
            </w:pPr>
            <w:r>
              <w:rPr>
                <w:rFonts w:hint="eastAsia" w:eastAsia="Yu Mincho"/>
              </w:rPr>
              <w:t>4</w:t>
            </w:r>
            <w:r>
              <w:rPr>
                <w:rFonts w:hint="eastAsia" w:eastAsia="宋体"/>
                <w:lang w:val="en-US" w:eastAsia="zh-CN"/>
              </w:rPr>
              <w:t xml:space="preserve"> </w:t>
            </w:r>
          </w:p>
        </w:tc>
        <w:tc>
          <w:tcPr>
            <w:tcW w:w="772" w:type="pct"/>
            <w:vAlign w:val="top"/>
          </w:tcPr>
          <w:p>
            <w:pPr>
              <w:pStyle w:val="37"/>
              <w:overflowPunct w:val="0"/>
              <w:autoSpaceDE w:val="0"/>
              <w:autoSpaceDN w:val="0"/>
              <w:adjustRightInd w:val="0"/>
              <w:spacing w:after="180"/>
              <w:textAlignment w:val="baseline"/>
              <w:rPr>
                <w:rFonts w:hint="eastAsia" w:ascii="Arial" w:hAnsi="Arial" w:eastAsia="Yu Mincho" w:cstheme="minorBidi"/>
                <w:kern w:val="2"/>
                <w:sz w:val="18"/>
                <w:szCs w:val="24"/>
                <w:lang w:val="en-US" w:eastAsia="zh-CN" w:bidi="ar-SA"/>
              </w:rPr>
            </w:pPr>
            <w:r>
              <w:rPr>
                <w:rFonts w:hint="eastAsia" w:eastAsia="Yu Mincho"/>
              </w:rPr>
              <w:t xml:space="preserve">TN with </w:t>
            </w:r>
            <w:r>
              <w:rPr>
                <w:rFonts w:hint="eastAsia" w:eastAsia="宋体"/>
                <w:lang w:val="en-US" w:eastAsia="zh-CN"/>
              </w:rPr>
              <w:t>NTN</w:t>
            </w:r>
          </w:p>
        </w:tc>
        <w:tc>
          <w:tcPr>
            <w:tcW w:w="655" w:type="pct"/>
            <w:vAlign w:val="top"/>
          </w:tcPr>
          <w:p>
            <w:pPr>
              <w:pStyle w:val="37"/>
              <w:overflowPunct w:val="0"/>
              <w:autoSpaceDE w:val="0"/>
              <w:autoSpaceDN w:val="0"/>
              <w:adjustRightInd w:val="0"/>
              <w:spacing w:after="180"/>
              <w:textAlignment w:val="baseline"/>
              <w:rPr>
                <w:rFonts w:hint="default" w:ascii="Arial" w:hAnsi="Arial" w:eastAsia="Yu Mincho" w:cstheme="minorBidi"/>
                <w:kern w:val="2"/>
                <w:sz w:val="18"/>
                <w:szCs w:val="24"/>
                <w:lang w:val="en-US" w:eastAsia="zh-CN" w:bidi="ar-SA"/>
              </w:rPr>
            </w:pPr>
            <w:r>
              <w:rPr>
                <w:rFonts w:hint="eastAsia" w:eastAsia="宋体"/>
                <w:lang w:val="en-US" w:eastAsia="zh-CN"/>
              </w:rPr>
              <w:t>TN</w:t>
            </w:r>
            <w:r>
              <w:rPr>
                <w:rFonts w:hint="eastAsia" w:eastAsia="Yu Mincho"/>
              </w:rPr>
              <w:t xml:space="preserve"> DL</w:t>
            </w:r>
          </w:p>
        </w:tc>
        <w:tc>
          <w:tcPr>
            <w:tcW w:w="522" w:type="pct"/>
            <w:vAlign w:val="top"/>
          </w:tcPr>
          <w:p>
            <w:pPr>
              <w:pStyle w:val="37"/>
              <w:overflowPunct w:val="0"/>
              <w:autoSpaceDE w:val="0"/>
              <w:autoSpaceDN w:val="0"/>
              <w:adjustRightInd w:val="0"/>
              <w:spacing w:after="180"/>
              <w:textAlignment w:val="baseline"/>
              <w:rPr>
                <w:rFonts w:hint="default" w:ascii="Arial" w:hAnsi="Arial" w:eastAsia="宋体" w:cstheme="minorBidi"/>
                <w:kern w:val="2"/>
                <w:sz w:val="18"/>
                <w:szCs w:val="24"/>
                <w:lang w:val="en-US" w:eastAsia="zh-CN" w:bidi="ar-SA"/>
              </w:rPr>
            </w:pPr>
            <w:r>
              <w:rPr>
                <w:rFonts w:hint="eastAsia" w:eastAsia="宋体"/>
                <w:lang w:val="en-US" w:eastAsia="zh-CN"/>
              </w:rPr>
              <w:t>NTN UL</w:t>
            </w:r>
          </w:p>
        </w:tc>
        <w:tc>
          <w:tcPr>
            <w:tcW w:w="1839" w:type="pct"/>
            <w:vAlign w:val="top"/>
          </w:tcPr>
          <w:p>
            <w:pPr>
              <w:pStyle w:val="38"/>
              <w:overflowPunct w:val="0"/>
              <w:autoSpaceDE w:val="0"/>
              <w:autoSpaceDN w:val="0"/>
              <w:adjustRightInd w:val="0"/>
              <w:spacing w:after="180"/>
              <w:textAlignment w:val="baseline"/>
              <w:rPr>
                <w:rFonts w:hint="default" w:ascii="Arial" w:hAnsi="Arial" w:eastAsia="Yu Mincho" w:cstheme="minorBidi"/>
                <w:b/>
                <w:kern w:val="2"/>
                <w:sz w:val="18"/>
                <w:szCs w:val="24"/>
                <w:lang w:val="en-US" w:eastAsia="ja-JP" w:bidi="ar-SA"/>
              </w:rPr>
            </w:pPr>
            <w:r>
              <w:rPr>
                <w:rFonts w:hint="eastAsia" w:eastAsia="宋体"/>
                <w:b w:val="0"/>
                <w:bCs/>
                <w:lang w:val="en-US" w:eastAsia="zh-CN"/>
              </w:rPr>
              <w:t>Applicable for n257, n258 and n261</w:t>
            </w:r>
          </w:p>
        </w:tc>
        <w:tc>
          <w:tcPr>
            <w:tcW w:w="812" w:type="pct"/>
            <w:vAlign w:val="top"/>
          </w:tcPr>
          <w:p>
            <w:pPr>
              <w:pStyle w:val="37"/>
              <w:overflowPunct w:val="0"/>
              <w:autoSpaceDE w:val="0"/>
              <w:autoSpaceDN w:val="0"/>
              <w:adjustRightInd w:val="0"/>
              <w:spacing w:after="180"/>
              <w:textAlignment w:val="baseline"/>
              <w:rPr>
                <w:rFonts w:hint="eastAsia" w:ascii="Arial" w:hAnsi="Arial" w:eastAsia="Yu Mincho" w:cstheme="minorBidi"/>
                <w:kern w:val="2"/>
                <w:sz w:val="18"/>
                <w:szCs w:val="24"/>
                <w:lang w:val="en-US" w:eastAsia="zh-CN" w:bidi="ar-SA"/>
              </w:rPr>
            </w:pPr>
            <w:r>
              <w:rPr>
                <w:rFonts w:eastAsia="Yu Mincho"/>
              </w:rP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7" w:type="pct"/>
          </w:tcPr>
          <w:p>
            <w:pPr>
              <w:pStyle w:val="37"/>
              <w:overflowPunct w:val="0"/>
              <w:autoSpaceDE w:val="0"/>
              <w:autoSpaceDN w:val="0"/>
              <w:adjustRightInd w:val="0"/>
              <w:spacing w:after="180"/>
              <w:textAlignment w:val="baseline"/>
              <w:rPr>
                <w:rFonts w:hint="default" w:eastAsia="宋体"/>
                <w:lang w:val="en-US" w:eastAsia="zh-CN"/>
              </w:rPr>
            </w:pPr>
            <w:r>
              <w:rPr>
                <w:rFonts w:hint="eastAsia" w:eastAsia="宋体"/>
                <w:lang w:val="en-US" w:eastAsia="zh-CN"/>
              </w:rPr>
              <w:t>5</w:t>
            </w:r>
          </w:p>
        </w:tc>
        <w:tc>
          <w:tcPr>
            <w:tcW w:w="772" w:type="pct"/>
            <w:vAlign w:val="top"/>
          </w:tcPr>
          <w:p>
            <w:pPr>
              <w:pStyle w:val="37"/>
              <w:overflowPunct w:val="0"/>
              <w:autoSpaceDE w:val="0"/>
              <w:autoSpaceDN w:val="0"/>
              <w:adjustRightInd w:val="0"/>
              <w:spacing w:after="180"/>
              <w:textAlignment w:val="baseline"/>
              <w:rPr>
                <w:rFonts w:hint="eastAsia" w:eastAsia="Yu Mincho"/>
              </w:rPr>
            </w:pPr>
            <w:r>
              <w:rPr>
                <w:rFonts w:hint="eastAsia" w:eastAsia="Yu Mincho"/>
              </w:rPr>
              <w:t xml:space="preserve">TN with </w:t>
            </w:r>
            <w:r>
              <w:rPr>
                <w:rFonts w:hint="eastAsia" w:eastAsia="宋体"/>
                <w:lang w:val="en-US" w:eastAsia="zh-CN"/>
              </w:rPr>
              <w:t>NTN</w:t>
            </w:r>
          </w:p>
        </w:tc>
        <w:tc>
          <w:tcPr>
            <w:tcW w:w="655" w:type="pct"/>
            <w:vAlign w:val="top"/>
          </w:tcPr>
          <w:p>
            <w:pPr>
              <w:pStyle w:val="37"/>
              <w:overflowPunct w:val="0"/>
              <w:autoSpaceDE w:val="0"/>
              <w:autoSpaceDN w:val="0"/>
              <w:adjustRightInd w:val="0"/>
              <w:spacing w:after="180"/>
              <w:textAlignment w:val="baseline"/>
              <w:rPr>
                <w:rFonts w:hint="default" w:eastAsia="宋体"/>
                <w:lang w:val="en-US" w:eastAsia="zh-CN"/>
              </w:rPr>
            </w:pPr>
            <w:r>
              <w:rPr>
                <w:rFonts w:hint="eastAsia" w:eastAsia="宋体"/>
                <w:lang w:val="en-US" w:eastAsia="zh-CN"/>
              </w:rPr>
              <w:t>TN DL</w:t>
            </w:r>
          </w:p>
        </w:tc>
        <w:tc>
          <w:tcPr>
            <w:tcW w:w="522" w:type="pct"/>
            <w:vAlign w:val="top"/>
          </w:tcPr>
          <w:p>
            <w:pPr>
              <w:pStyle w:val="37"/>
              <w:overflowPunct w:val="0"/>
              <w:autoSpaceDE w:val="0"/>
              <w:autoSpaceDN w:val="0"/>
              <w:adjustRightInd w:val="0"/>
              <w:spacing w:after="180"/>
              <w:textAlignment w:val="baseline"/>
              <w:rPr>
                <w:rFonts w:hint="default" w:eastAsia="宋体"/>
                <w:lang w:val="en-US" w:eastAsia="zh-CN"/>
              </w:rPr>
            </w:pPr>
            <w:r>
              <w:rPr>
                <w:rFonts w:hint="eastAsia" w:eastAsia="宋体"/>
                <w:lang w:val="en-US" w:eastAsia="zh-CN"/>
              </w:rPr>
              <w:t>NTN DL</w:t>
            </w:r>
          </w:p>
        </w:tc>
        <w:tc>
          <w:tcPr>
            <w:tcW w:w="1839" w:type="pct"/>
            <w:vAlign w:val="top"/>
          </w:tcPr>
          <w:p>
            <w:pPr>
              <w:pStyle w:val="38"/>
              <w:overflowPunct w:val="0"/>
              <w:autoSpaceDE w:val="0"/>
              <w:autoSpaceDN w:val="0"/>
              <w:adjustRightInd w:val="0"/>
              <w:spacing w:after="180"/>
              <w:textAlignment w:val="baseline"/>
              <w:rPr>
                <w:rFonts w:hint="default" w:eastAsia="宋体"/>
                <w:b w:val="0"/>
                <w:bCs/>
                <w:lang w:val="en-US" w:eastAsia="zh-CN"/>
              </w:rPr>
            </w:pPr>
            <w:r>
              <w:rPr>
                <w:rFonts w:hint="eastAsia" w:eastAsia="宋体"/>
                <w:b w:val="0"/>
                <w:bCs/>
                <w:lang w:val="en-US" w:eastAsia="zh-CN"/>
              </w:rPr>
              <w:t>FFS</w:t>
            </w:r>
          </w:p>
        </w:tc>
        <w:tc>
          <w:tcPr>
            <w:tcW w:w="812" w:type="pct"/>
            <w:vAlign w:val="top"/>
          </w:tcPr>
          <w:p>
            <w:pPr>
              <w:pStyle w:val="37"/>
              <w:overflowPunct w:val="0"/>
              <w:autoSpaceDE w:val="0"/>
              <w:autoSpaceDN w:val="0"/>
              <w:adjustRightInd w:val="0"/>
              <w:spacing w:after="180"/>
              <w:textAlignment w:val="baseline"/>
              <w:rPr>
                <w:rFonts w:hint="default" w:eastAsia="宋体"/>
                <w:lang w:val="en-US" w:eastAsia="zh-CN"/>
              </w:rPr>
            </w:pPr>
            <w:r>
              <w:rPr>
                <w:rFonts w:hint="eastAsia" w:eastAsia="宋体"/>
                <w:lang w:val="en-US" w:eastAsia="zh-CN"/>
              </w:rPr>
              <w:t>Phase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7" w:type="pct"/>
          </w:tcPr>
          <w:p>
            <w:pPr>
              <w:pStyle w:val="37"/>
              <w:overflowPunct w:val="0"/>
              <w:autoSpaceDE w:val="0"/>
              <w:autoSpaceDN w:val="0"/>
              <w:adjustRightInd w:val="0"/>
              <w:spacing w:after="180"/>
              <w:textAlignment w:val="baseline"/>
              <w:rPr>
                <w:rFonts w:hint="default" w:eastAsia="宋体"/>
                <w:lang w:val="en-US" w:eastAsia="zh-CN"/>
              </w:rPr>
            </w:pPr>
            <w:r>
              <w:rPr>
                <w:rFonts w:hint="eastAsia" w:eastAsia="宋体"/>
                <w:lang w:val="en-US" w:eastAsia="zh-CN"/>
              </w:rPr>
              <w:t>6</w:t>
            </w:r>
          </w:p>
        </w:tc>
        <w:tc>
          <w:tcPr>
            <w:tcW w:w="772" w:type="pct"/>
            <w:vAlign w:val="top"/>
          </w:tcPr>
          <w:p>
            <w:pPr>
              <w:pStyle w:val="37"/>
              <w:overflowPunct w:val="0"/>
              <w:autoSpaceDE w:val="0"/>
              <w:autoSpaceDN w:val="0"/>
              <w:adjustRightInd w:val="0"/>
              <w:spacing w:after="180"/>
              <w:textAlignment w:val="baseline"/>
              <w:rPr>
                <w:rFonts w:hint="eastAsia" w:eastAsia="Yu Mincho"/>
              </w:rPr>
            </w:pPr>
            <w:r>
              <w:rPr>
                <w:rFonts w:hint="eastAsia" w:eastAsia="Yu Mincho"/>
              </w:rPr>
              <w:t xml:space="preserve">TN with </w:t>
            </w:r>
            <w:r>
              <w:rPr>
                <w:rFonts w:hint="eastAsia" w:eastAsia="宋体"/>
                <w:lang w:val="en-US" w:eastAsia="zh-CN"/>
              </w:rPr>
              <w:t>NTN</w:t>
            </w:r>
          </w:p>
        </w:tc>
        <w:tc>
          <w:tcPr>
            <w:tcW w:w="655" w:type="pct"/>
            <w:vAlign w:val="top"/>
          </w:tcPr>
          <w:p>
            <w:pPr>
              <w:pStyle w:val="37"/>
              <w:overflowPunct w:val="0"/>
              <w:autoSpaceDE w:val="0"/>
              <w:autoSpaceDN w:val="0"/>
              <w:adjustRightInd w:val="0"/>
              <w:spacing w:after="180"/>
              <w:textAlignment w:val="baseline"/>
              <w:rPr>
                <w:rFonts w:hint="default" w:eastAsia="宋体"/>
                <w:lang w:val="en-US" w:eastAsia="zh-CN"/>
              </w:rPr>
            </w:pPr>
            <w:r>
              <w:rPr>
                <w:rFonts w:hint="eastAsia" w:eastAsia="宋体"/>
                <w:lang w:val="en-US" w:eastAsia="zh-CN"/>
              </w:rPr>
              <w:t>NTN DL</w:t>
            </w:r>
          </w:p>
        </w:tc>
        <w:tc>
          <w:tcPr>
            <w:tcW w:w="522" w:type="pct"/>
            <w:vAlign w:val="top"/>
          </w:tcPr>
          <w:p>
            <w:pPr>
              <w:pStyle w:val="37"/>
              <w:overflowPunct w:val="0"/>
              <w:autoSpaceDE w:val="0"/>
              <w:autoSpaceDN w:val="0"/>
              <w:adjustRightInd w:val="0"/>
              <w:spacing w:after="180"/>
              <w:textAlignment w:val="baseline"/>
              <w:rPr>
                <w:rFonts w:hint="default" w:eastAsia="宋体"/>
                <w:lang w:val="en-US" w:eastAsia="zh-CN"/>
              </w:rPr>
            </w:pPr>
            <w:r>
              <w:rPr>
                <w:rFonts w:hint="eastAsia" w:eastAsia="宋体"/>
                <w:lang w:val="en-US" w:eastAsia="zh-CN"/>
              </w:rPr>
              <w:t>TN DL</w:t>
            </w:r>
          </w:p>
        </w:tc>
        <w:tc>
          <w:tcPr>
            <w:tcW w:w="1839" w:type="pct"/>
            <w:vAlign w:val="top"/>
          </w:tcPr>
          <w:p>
            <w:pPr>
              <w:pStyle w:val="38"/>
              <w:overflowPunct w:val="0"/>
              <w:autoSpaceDE w:val="0"/>
              <w:autoSpaceDN w:val="0"/>
              <w:adjustRightInd w:val="0"/>
              <w:spacing w:after="180"/>
              <w:textAlignment w:val="baseline"/>
              <w:rPr>
                <w:rFonts w:hint="default" w:eastAsia="宋体"/>
                <w:b w:val="0"/>
                <w:bCs/>
                <w:lang w:val="en-US" w:eastAsia="zh-CN"/>
              </w:rPr>
            </w:pPr>
            <w:r>
              <w:rPr>
                <w:rFonts w:hint="eastAsia" w:eastAsia="宋体"/>
                <w:b w:val="0"/>
                <w:bCs/>
                <w:lang w:val="en-US" w:eastAsia="zh-CN"/>
              </w:rPr>
              <w:t>FFS</w:t>
            </w:r>
          </w:p>
        </w:tc>
        <w:tc>
          <w:tcPr>
            <w:tcW w:w="812" w:type="pct"/>
            <w:vAlign w:val="top"/>
          </w:tcPr>
          <w:p>
            <w:pPr>
              <w:pStyle w:val="37"/>
              <w:overflowPunct w:val="0"/>
              <w:autoSpaceDE w:val="0"/>
              <w:autoSpaceDN w:val="0"/>
              <w:adjustRightInd w:val="0"/>
              <w:spacing w:after="180"/>
              <w:textAlignment w:val="baseline"/>
              <w:rPr>
                <w:rFonts w:hint="default" w:eastAsia="宋体"/>
                <w:lang w:val="en-US" w:eastAsia="zh-CN"/>
              </w:rPr>
            </w:pPr>
            <w:r>
              <w:rPr>
                <w:rFonts w:hint="eastAsia" w:eastAsia="宋体"/>
                <w:lang w:val="en-US" w:eastAsia="zh-CN"/>
              </w:rPr>
              <w:t>Phase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6"/>
          </w:tcPr>
          <w:p>
            <w:pPr>
              <w:pStyle w:val="37"/>
              <w:overflowPunct w:val="0"/>
              <w:autoSpaceDE w:val="0"/>
              <w:autoSpaceDN w:val="0"/>
              <w:adjustRightInd w:val="0"/>
              <w:spacing w:after="180"/>
              <w:jc w:val="left"/>
              <w:textAlignment w:val="baseline"/>
              <w:rPr>
                <w:rFonts w:hint="default" w:eastAsia="宋体"/>
                <w:lang w:val="en-US" w:eastAsia="zh-CN"/>
              </w:rPr>
            </w:pPr>
            <w:r>
              <w:rPr>
                <w:rFonts w:hint="eastAsia" w:eastAsia="宋体"/>
                <w:lang w:val="en-US" w:eastAsia="zh-CN"/>
              </w:rPr>
              <w:t xml:space="preserve">NOTE 1: For coexistence between Ka band DL and </w:t>
            </w:r>
            <w:r>
              <w:rPr>
                <w:rFonts w:hint="eastAsia" w:eastAsia="宋体"/>
                <w:sz w:val="18"/>
                <w:lang w:val="en-US" w:eastAsia="zh-CN"/>
              </w:rPr>
              <w:t>surrounding TN bands, this need more discussions since currently there are no 3GPP defined TN bands specified.</w:t>
            </w:r>
          </w:p>
        </w:tc>
      </w:tr>
      <w:bookmarkEnd w:id="7"/>
    </w:tbl>
    <w:p>
      <w:pPr>
        <w:rPr>
          <w:rFonts w:hint="default"/>
          <w:lang w:val="en-US" w:eastAsia="zh-CN"/>
        </w:rPr>
      </w:pPr>
    </w:p>
    <w:p>
      <w:r>
        <w:t xml:space="preserve">The frequency and bandwidth are listed in Table </w:t>
      </w:r>
      <w:r>
        <w:rPr>
          <w:rFonts w:hint="eastAsia"/>
          <w:lang w:val="en-US" w:eastAsia="zh-CN"/>
        </w:rPr>
        <w:t>2</w:t>
      </w:r>
      <w:r>
        <w:t>.1-</w:t>
      </w:r>
      <w:r>
        <w:rPr>
          <w:rFonts w:hint="eastAsia"/>
          <w:lang w:val="en-US" w:eastAsia="zh-CN"/>
        </w:rPr>
        <w:t>2</w:t>
      </w:r>
      <w:r>
        <w:t>.</w:t>
      </w:r>
    </w:p>
    <w:p>
      <w:pPr>
        <w:pStyle w:val="46"/>
      </w:pPr>
      <w:r>
        <w:t>T</w:t>
      </w:r>
      <w:r>
        <w:rPr>
          <w:rFonts w:hint="eastAsia"/>
        </w:rPr>
        <w:t xml:space="preserve">able </w:t>
      </w:r>
      <w:r>
        <w:rPr>
          <w:rFonts w:hint="eastAsia"/>
          <w:lang w:val="en-US" w:eastAsia="zh-CN"/>
        </w:rPr>
        <w:t>2</w:t>
      </w:r>
      <w:r>
        <w:rPr>
          <w:rFonts w:hint="eastAsia"/>
        </w:rPr>
        <w:t>.1-</w:t>
      </w:r>
      <w:r>
        <w:rPr>
          <w:rFonts w:hint="eastAsia"/>
          <w:lang w:val="en-US" w:eastAsia="zh-CN"/>
        </w:rPr>
        <w:t>2</w:t>
      </w:r>
      <w:r>
        <w:t>:</w:t>
      </w:r>
      <w:r>
        <w:rPr>
          <w:rFonts w:hint="eastAsia"/>
        </w:rPr>
        <w:t xml:space="preserve"> </w:t>
      </w:r>
      <w:r>
        <w:t>Proposed</w:t>
      </w:r>
      <w:r>
        <w:rPr>
          <w:rFonts w:hint="eastAsia"/>
        </w:rPr>
        <w:t xml:space="preserve"> frequency and bandwidth for co-existence study</w:t>
      </w:r>
    </w:p>
    <w:tbl>
      <w:tblPr>
        <w:tblStyle w:val="96"/>
        <w:tblW w:w="500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9"/>
        <w:gridCol w:w="1352"/>
        <w:gridCol w:w="3816"/>
        <w:gridCol w:w="1604"/>
        <w:gridCol w:w="13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 w:type="pct"/>
          </w:tcPr>
          <w:p>
            <w:pPr>
              <w:pStyle w:val="36"/>
              <w:overflowPunct w:val="0"/>
              <w:autoSpaceDE w:val="0"/>
              <w:autoSpaceDN w:val="0"/>
              <w:adjustRightInd w:val="0"/>
              <w:spacing w:after="180"/>
              <w:textAlignment w:val="baseline"/>
              <w:rPr>
                <w:rFonts w:eastAsia="Yu Mincho"/>
              </w:rPr>
            </w:pPr>
          </w:p>
        </w:tc>
        <w:tc>
          <w:tcPr>
            <w:tcW w:w="678" w:type="pct"/>
          </w:tcPr>
          <w:p>
            <w:pPr>
              <w:pStyle w:val="36"/>
              <w:overflowPunct w:val="0"/>
              <w:autoSpaceDE w:val="0"/>
              <w:autoSpaceDN w:val="0"/>
              <w:adjustRightInd w:val="0"/>
              <w:spacing w:after="180"/>
              <w:textAlignment w:val="baseline"/>
              <w:rPr>
                <w:rFonts w:eastAsia="Yu Mincho"/>
              </w:rPr>
            </w:pPr>
            <w:r>
              <w:rPr>
                <w:rFonts w:hint="eastAsia" w:eastAsia="Yu Mincho"/>
                <w:bCs/>
              </w:rPr>
              <w:t>Frequency</w:t>
            </w:r>
          </w:p>
        </w:tc>
        <w:tc>
          <w:tcPr>
            <w:tcW w:w="1914" w:type="pct"/>
          </w:tcPr>
          <w:p>
            <w:pPr>
              <w:pStyle w:val="36"/>
              <w:overflowPunct w:val="0"/>
              <w:autoSpaceDE w:val="0"/>
              <w:autoSpaceDN w:val="0"/>
              <w:adjustRightInd w:val="0"/>
              <w:spacing w:after="180"/>
              <w:textAlignment w:val="baseline"/>
              <w:rPr>
                <w:rFonts w:eastAsia="Yu Mincho"/>
              </w:rPr>
            </w:pPr>
            <w:r>
              <w:rPr>
                <w:rFonts w:hint="eastAsia" w:eastAsia="Yu Mincho"/>
                <w:bCs/>
              </w:rPr>
              <w:t>Bandwidth</w:t>
            </w:r>
          </w:p>
        </w:tc>
        <w:tc>
          <w:tcPr>
            <w:tcW w:w="804" w:type="pct"/>
          </w:tcPr>
          <w:p>
            <w:pPr>
              <w:pStyle w:val="36"/>
              <w:overflowPunct w:val="0"/>
              <w:autoSpaceDE w:val="0"/>
              <w:autoSpaceDN w:val="0"/>
              <w:adjustRightInd w:val="0"/>
              <w:spacing w:after="180"/>
              <w:textAlignment w:val="baseline"/>
              <w:rPr>
                <w:rFonts w:eastAsia="Yu Mincho"/>
                <w:bCs/>
              </w:rPr>
            </w:pPr>
            <w:r>
              <w:rPr>
                <w:rFonts w:eastAsia="Yu Mincho"/>
                <w:bCs/>
              </w:rPr>
              <w:t>D</w:t>
            </w:r>
            <w:r>
              <w:rPr>
                <w:rFonts w:hint="eastAsia" w:eastAsia="Yu Mincho"/>
                <w:bCs/>
              </w:rPr>
              <w:t>uplex mode</w:t>
            </w:r>
          </w:p>
        </w:tc>
        <w:tc>
          <w:tcPr>
            <w:tcW w:w="683" w:type="pct"/>
          </w:tcPr>
          <w:p>
            <w:pPr>
              <w:pStyle w:val="36"/>
              <w:overflowPunct w:val="0"/>
              <w:autoSpaceDE w:val="0"/>
              <w:autoSpaceDN w:val="0"/>
              <w:adjustRightInd w:val="0"/>
              <w:spacing w:after="180"/>
              <w:textAlignment w:val="baseline"/>
              <w:rPr>
                <w:rFonts w:hint="default" w:eastAsia="宋体"/>
                <w:bCs/>
                <w:lang w:val="en-US" w:eastAsia="zh-CN"/>
              </w:rPr>
            </w:pPr>
            <w:r>
              <w:rPr>
                <w:rFonts w:hint="eastAsia" w:eastAsia="宋体"/>
                <w:bCs/>
                <w:lang w:val="en-US" w:eastAsia="zh-CN"/>
              </w:rPr>
              <w:t>FRF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17" w:type="pct"/>
          </w:tcPr>
          <w:p>
            <w:pPr>
              <w:pStyle w:val="37"/>
              <w:overflowPunct w:val="0"/>
              <w:autoSpaceDE w:val="0"/>
              <w:autoSpaceDN w:val="0"/>
              <w:adjustRightInd w:val="0"/>
              <w:spacing w:after="180"/>
              <w:textAlignment w:val="baseline"/>
              <w:rPr>
                <w:rFonts w:hint="eastAsia" w:eastAsia="宋体"/>
                <w:vertAlign w:val="superscript"/>
              </w:rPr>
            </w:pPr>
            <w:r>
              <w:rPr>
                <w:rFonts w:eastAsia="Yu Mincho"/>
              </w:rPr>
              <w:t>TN Rural</w:t>
            </w:r>
            <w:r>
              <w:rPr>
                <w:rFonts w:hint="eastAsia" w:eastAsia="宋体"/>
                <w:vertAlign w:val="superscript"/>
                <w:lang w:val="en-US" w:eastAsia="zh-CN"/>
              </w:rPr>
              <w:t>1</w:t>
            </w:r>
          </w:p>
        </w:tc>
        <w:tc>
          <w:tcPr>
            <w:tcW w:w="678" w:type="pct"/>
          </w:tcPr>
          <w:p>
            <w:pPr>
              <w:pStyle w:val="37"/>
              <w:overflowPunct w:val="0"/>
              <w:autoSpaceDE w:val="0"/>
              <w:autoSpaceDN w:val="0"/>
              <w:adjustRightInd w:val="0"/>
              <w:spacing w:after="180"/>
              <w:textAlignment w:val="baseline"/>
              <w:rPr>
                <w:rFonts w:eastAsia="Yu Mincho"/>
              </w:rPr>
            </w:pPr>
            <w:r>
              <w:rPr>
                <w:rFonts w:hint="eastAsia" w:eastAsia="宋体"/>
                <w:lang w:val="en-US" w:eastAsia="zh-CN"/>
              </w:rPr>
              <w:t>30</w:t>
            </w:r>
            <w:r>
              <w:rPr>
                <w:rFonts w:hint="eastAsia" w:eastAsia="Yu Mincho"/>
              </w:rPr>
              <w:t xml:space="preserve"> GHz</w:t>
            </w:r>
          </w:p>
        </w:tc>
        <w:tc>
          <w:tcPr>
            <w:tcW w:w="1914" w:type="pct"/>
          </w:tcPr>
          <w:p>
            <w:pPr>
              <w:pStyle w:val="37"/>
              <w:overflowPunct w:val="0"/>
              <w:autoSpaceDE w:val="0"/>
              <w:autoSpaceDN w:val="0"/>
              <w:adjustRightInd w:val="0"/>
              <w:spacing w:after="180"/>
              <w:textAlignment w:val="baseline"/>
              <w:rPr>
                <w:rFonts w:hint="default" w:eastAsia="宋体"/>
                <w:lang w:val="en-US" w:eastAsia="zh-CN"/>
              </w:rPr>
            </w:pPr>
            <w:r>
              <w:rPr>
                <w:rFonts w:hint="eastAsia" w:eastAsia="宋体"/>
                <w:color w:val="000000"/>
                <w:szCs w:val="18"/>
                <w:lang w:val="en-US" w:eastAsia="zh-CN"/>
              </w:rPr>
              <w:t>400</w:t>
            </w:r>
            <w:r>
              <w:rPr>
                <w:rFonts w:eastAsia="Yu Mincho"/>
              </w:rPr>
              <w:t>MHz</w:t>
            </w:r>
            <w:r>
              <w:rPr>
                <w:rFonts w:hint="eastAsia" w:eastAsia="宋体"/>
                <w:lang w:val="en-US" w:eastAsia="zh-CN"/>
              </w:rPr>
              <w:t>/200MHz</w:t>
            </w:r>
          </w:p>
        </w:tc>
        <w:tc>
          <w:tcPr>
            <w:tcW w:w="804" w:type="pct"/>
          </w:tcPr>
          <w:p>
            <w:pPr>
              <w:pStyle w:val="37"/>
              <w:overflowPunct w:val="0"/>
              <w:autoSpaceDE w:val="0"/>
              <w:autoSpaceDN w:val="0"/>
              <w:adjustRightInd w:val="0"/>
              <w:spacing w:after="180"/>
              <w:textAlignment w:val="baseline"/>
              <w:rPr>
                <w:rFonts w:eastAsia="Yu Mincho"/>
              </w:rPr>
            </w:pPr>
            <w:r>
              <w:rPr>
                <w:rFonts w:hint="eastAsia" w:eastAsia="Yu Mincho"/>
              </w:rPr>
              <w:t>TDD</w:t>
            </w:r>
          </w:p>
        </w:tc>
        <w:tc>
          <w:tcPr>
            <w:tcW w:w="683" w:type="pct"/>
          </w:tcPr>
          <w:p>
            <w:pPr>
              <w:pStyle w:val="37"/>
              <w:overflowPunct w:val="0"/>
              <w:autoSpaceDE w:val="0"/>
              <w:autoSpaceDN w:val="0"/>
              <w:adjustRightInd w:val="0"/>
              <w:spacing w:after="180"/>
              <w:textAlignment w:val="baseline"/>
              <w:rPr>
                <w:rFonts w:eastAsia="Yu Mincho"/>
              </w:rPr>
            </w:pPr>
            <w:r>
              <w:rPr>
                <w:rFonts w:hint="eastAsia" w:eastAsia="Yu Minch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 w:type="pct"/>
          </w:tcPr>
          <w:p>
            <w:pPr>
              <w:pStyle w:val="37"/>
              <w:overflowPunct w:val="0"/>
              <w:autoSpaceDE w:val="0"/>
              <w:autoSpaceDN w:val="0"/>
              <w:adjustRightInd w:val="0"/>
              <w:spacing w:after="180"/>
              <w:textAlignment w:val="baseline"/>
              <w:rPr>
                <w:rFonts w:eastAsia="Yu Mincho"/>
              </w:rPr>
            </w:pPr>
            <w:r>
              <w:rPr>
                <w:rFonts w:eastAsia="Yu Mincho"/>
              </w:rPr>
              <w:t xml:space="preserve">TN </w:t>
            </w:r>
            <w:r>
              <w:rPr>
                <w:rFonts w:hint="eastAsia" w:eastAsia="Yu Mincho"/>
              </w:rPr>
              <w:t>Urban macro</w:t>
            </w:r>
          </w:p>
        </w:tc>
        <w:tc>
          <w:tcPr>
            <w:tcW w:w="678" w:type="pct"/>
          </w:tcPr>
          <w:p>
            <w:pPr>
              <w:pStyle w:val="37"/>
              <w:overflowPunct w:val="0"/>
              <w:autoSpaceDE w:val="0"/>
              <w:autoSpaceDN w:val="0"/>
              <w:adjustRightInd w:val="0"/>
              <w:spacing w:after="180"/>
              <w:textAlignment w:val="baseline"/>
              <w:rPr>
                <w:rFonts w:eastAsia="Yu Mincho"/>
              </w:rPr>
            </w:pPr>
            <w:r>
              <w:rPr>
                <w:rFonts w:hint="eastAsia" w:eastAsia="宋体"/>
                <w:lang w:val="en-US" w:eastAsia="zh-CN"/>
              </w:rPr>
              <w:t>30</w:t>
            </w:r>
            <w:r>
              <w:rPr>
                <w:rFonts w:hint="eastAsia" w:eastAsia="Yu Mincho"/>
              </w:rPr>
              <w:t xml:space="preserve"> GHz</w:t>
            </w:r>
          </w:p>
        </w:tc>
        <w:tc>
          <w:tcPr>
            <w:tcW w:w="1914" w:type="pct"/>
          </w:tcPr>
          <w:p>
            <w:pPr>
              <w:pStyle w:val="37"/>
              <w:overflowPunct w:val="0"/>
              <w:autoSpaceDE w:val="0"/>
              <w:autoSpaceDN w:val="0"/>
              <w:adjustRightInd w:val="0"/>
              <w:spacing w:after="180"/>
              <w:textAlignment w:val="baseline"/>
              <w:rPr>
                <w:rFonts w:eastAsia="Yu Mincho"/>
              </w:rPr>
            </w:pPr>
            <w:r>
              <w:rPr>
                <w:rFonts w:hint="eastAsia" w:eastAsia="宋体"/>
                <w:color w:val="000000"/>
                <w:szCs w:val="18"/>
                <w:lang w:val="en-US" w:eastAsia="zh-CN"/>
              </w:rPr>
              <w:t>400</w:t>
            </w:r>
            <w:r>
              <w:rPr>
                <w:rFonts w:eastAsia="Yu Mincho"/>
              </w:rPr>
              <w:t>MHz</w:t>
            </w:r>
            <w:r>
              <w:rPr>
                <w:rFonts w:hint="eastAsia" w:eastAsia="宋体"/>
                <w:lang w:val="en-US" w:eastAsia="zh-CN"/>
              </w:rPr>
              <w:t>/200MHz</w:t>
            </w:r>
          </w:p>
        </w:tc>
        <w:tc>
          <w:tcPr>
            <w:tcW w:w="804" w:type="pct"/>
          </w:tcPr>
          <w:p>
            <w:pPr>
              <w:pStyle w:val="37"/>
              <w:overflowPunct w:val="0"/>
              <w:autoSpaceDE w:val="0"/>
              <w:autoSpaceDN w:val="0"/>
              <w:adjustRightInd w:val="0"/>
              <w:spacing w:after="180"/>
              <w:textAlignment w:val="baseline"/>
              <w:rPr>
                <w:rFonts w:eastAsia="Yu Mincho"/>
              </w:rPr>
            </w:pPr>
            <w:r>
              <w:rPr>
                <w:rFonts w:hint="eastAsia" w:eastAsia="Yu Mincho"/>
              </w:rPr>
              <w:t>TDD</w:t>
            </w:r>
          </w:p>
        </w:tc>
        <w:tc>
          <w:tcPr>
            <w:tcW w:w="683" w:type="pct"/>
          </w:tcPr>
          <w:p>
            <w:pPr>
              <w:pStyle w:val="37"/>
              <w:overflowPunct w:val="0"/>
              <w:autoSpaceDE w:val="0"/>
              <w:autoSpaceDN w:val="0"/>
              <w:adjustRightInd w:val="0"/>
              <w:spacing w:after="180"/>
              <w:textAlignment w:val="baseline"/>
              <w:rPr>
                <w:rFonts w:eastAsia="Yu Mincho"/>
              </w:rPr>
            </w:pPr>
            <w:r>
              <w:rPr>
                <w:rFonts w:hint="eastAsia" w:eastAsia="Yu Minch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 w:type="pct"/>
          </w:tcPr>
          <w:p>
            <w:pPr>
              <w:pStyle w:val="37"/>
              <w:overflowPunct w:val="0"/>
              <w:autoSpaceDE w:val="0"/>
              <w:autoSpaceDN w:val="0"/>
              <w:adjustRightInd w:val="0"/>
              <w:spacing w:after="180"/>
              <w:textAlignment w:val="baseline"/>
              <w:rPr>
                <w:rFonts w:eastAsia="Yu Mincho"/>
              </w:rPr>
            </w:pPr>
            <w:r>
              <w:rPr>
                <w:rFonts w:eastAsia="Yu Mincho"/>
              </w:rPr>
              <w:t>GEO</w:t>
            </w:r>
          </w:p>
        </w:tc>
        <w:tc>
          <w:tcPr>
            <w:tcW w:w="678" w:type="pct"/>
          </w:tcPr>
          <w:p>
            <w:pPr>
              <w:pStyle w:val="37"/>
              <w:overflowPunct w:val="0"/>
              <w:autoSpaceDE w:val="0"/>
              <w:autoSpaceDN w:val="0"/>
              <w:adjustRightInd w:val="0"/>
              <w:spacing w:after="180"/>
              <w:textAlignment w:val="baseline"/>
              <w:rPr>
                <w:rFonts w:eastAsia="Yu Mincho"/>
              </w:rPr>
            </w:pPr>
            <w:r>
              <w:rPr>
                <w:rFonts w:hint="eastAsia" w:eastAsia="宋体"/>
                <w:lang w:val="en-US" w:eastAsia="zh-CN"/>
              </w:rPr>
              <w:t>30</w:t>
            </w:r>
            <w:r>
              <w:rPr>
                <w:rFonts w:hint="eastAsia" w:eastAsia="Yu Mincho"/>
              </w:rPr>
              <w:t xml:space="preserve"> GHz</w:t>
            </w:r>
          </w:p>
        </w:tc>
        <w:tc>
          <w:tcPr>
            <w:tcW w:w="1914" w:type="pct"/>
          </w:tcPr>
          <w:p>
            <w:pPr>
              <w:pStyle w:val="37"/>
              <w:overflowPunct w:val="0"/>
              <w:autoSpaceDE w:val="0"/>
              <w:autoSpaceDN w:val="0"/>
              <w:adjustRightInd w:val="0"/>
              <w:spacing w:after="180"/>
              <w:textAlignment w:val="baseline"/>
              <w:rPr>
                <w:rFonts w:hint="eastAsia" w:eastAsia="宋体"/>
                <w:lang w:eastAsia="zh-CN"/>
              </w:rPr>
            </w:pPr>
            <w:r>
              <w:rPr>
                <w:rFonts w:hint="eastAsia" w:eastAsia="宋体"/>
                <w:color w:val="000000"/>
                <w:szCs w:val="18"/>
                <w:lang w:val="en-US" w:eastAsia="zh-CN"/>
              </w:rPr>
              <w:t>400</w:t>
            </w:r>
            <w:r>
              <w:rPr>
                <w:rFonts w:eastAsia="Yu Mincho"/>
              </w:rPr>
              <w:t>MHz</w:t>
            </w:r>
            <w:r>
              <w:rPr>
                <w:rFonts w:hint="eastAsia" w:eastAsia="宋体"/>
                <w:lang w:val="en-US" w:eastAsia="zh-CN"/>
              </w:rPr>
              <w:t>/200MHz</w:t>
            </w:r>
            <w:r>
              <w:rPr>
                <w:rFonts w:hint="eastAsia" w:eastAsia="宋体"/>
                <w:vertAlign w:val="superscript"/>
                <w:lang w:val="en-US" w:eastAsia="zh-CN"/>
              </w:rPr>
              <w:t>3</w:t>
            </w:r>
          </w:p>
        </w:tc>
        <w:tc>
          <w:tcPr>
            <w:tcW w:w="804" w:type="pct"/>
          </w:tcPr>
          <w:p>
            <w:pPr>
              <w:pStyle w:val="37"/>
              <w:overflowPunct w:val="0"/>
              <w:autoSpaceDE w:val="0"/>
              <w:autoSpaceDN w:val="0"/>
              <w:adjustRightInd w:val="0"/>
              <w:spacing w:after="180"/>
              <w:textAlignment w:val="baseline"/>
              <w:rPr>
                <w:rFonts w:eastAsia="Yu Mincho"/>
              </w:rPr>
            </w:pPr>
            <w:r>
              <w:rPr>
                <w:rFonts w:hint="eastAsia" w:eastAsia="Yu Mincho"/>
              </w:rPr>
              <w:t>FDD</w:t>
            </w:r>
          </w:p>
        </w:tc>
        <w:tc>
          <w:tcPr>
            <w:tcW w:w="683" w:type="pct"/>
          </w:tcPr>
          <w:p>
            <w:pPr>
              <w:pStyle w:val="37"/>
              <w:overflowPunct w:val="0"/>
              <w:autoSpaceDE w:val="0"/>
              <w:autoSpaceDN w:val="0"/>
              <w:adjustRightInd w:val="0"/>
              <w:spacing w:after="180"/>
              <w:textAlignment w:val="baseline"/>
              <w:rPr>
                <w:rFonts w:hint="eastAsia" w:eastAsia="宋体"/>
                <w:lang w:eastAsia="zh-CN"/>
              </w:rPr>
            </w:pPr>
            <w:r>
              <w:rPr>
                <w:rFonts w:eastAsia="Yu Mincho"/>
              </w:rPr>
              <w:t>1, 3</w:t>
            </w:r>
            <w:r>
              <w:rPr>
                <w:rFonts w:hint="eastAsia" w:eastAsia="宋体"/>
                <w:vertAlign w:val="superscript"/>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 w:type="pct"/>
          </w:tcPr>
          <w:p>
            <w:pPr>
              <w:pStyle w:val="37"/>
              <w:overflowPunct w:val="0"/>
              <w:autoSpaceDE w:val="0"/>
              <w:autoSpaceDN w:val="0"/>
              <w:adjustRightInd w:val="0"/>
              <w:spacing w:after="180"/>
              <w:textAlignment w:val="baseline"/>
              <w:rPr>
                <w:rFonts w:hint="default" w:eastAsia="宋体"/>
                <w:lang w:val="en-US" w:eastAsia="zh-CN"/>
              </w:rPr>
            </w:pPr>
            <w:r>
              <w:rPr>
                <w:rFonts w:hint="eastAsia" w:eastAsia="宋体"/>
                <w:lang w:val="en-US" w:eastAsia="zh-CN"/>
              </w:rPr>
              <w:t>[MEO]</w:t>
            </w:r>
          </w:p>
        </w:tc>
        <w:tc>
          <w:tcPr>
            <w:tcW w:w="678" w:type="pct"/>
          </w:tcPr>
          <w:p>
            <w:pPr>
              <w:pStyle w:val="37"/>
              <w:overflowPunct w:val="0"/>
              <w:autoSpaceDE w:val="0"/>
              <w:autoSpaceDN w:val="0"/>
              <w:adjustRightInd w:val="0"/>
              <w:spacing w:after="180"/>
              <w:textAlignment w:val="baseline"/>
              <w:rPr>
                <w:rFonts w:hint="default" w:eastAsia="宋体"/>
                <w:lang w:val="en-US" w:eastAsia="zh-CN"/>
              </w:rPr>
            </w:pPr>
            <w:r>
              <w:rPr>
                <w:rFonts w:hint="eastAsia" w:eastAsia="宋体"/>
                <w:lang w:val="en-US" w:eastAsia="zh-CN"/>
              </w:rPr>
              <w:t>30GHz</w:t>
            </w:r>
          </w:p>
        </w:tc>
        <w:tc>
          <w:tcPr>
            <w:tcW w:w="1914" w:type="pct"/>
          </w:tcPr>
          <w:p>
            <w:pPr>
              <w:pStyle w:val="37"/>
              <w:overflowPunct w:val="0"/>
              <w:autoSpaceDE w:val="0"/>
              <w:autoSpaceDN w:val="0"/>
              <w:adjustRightInd w:val="0"/>
              <w:spacing w:after="180"/>
              <w:textAlignment w:val="baseline"/>
              <w:rPr>
                <w:rFonts w:hint="default" w:eastAsia="宋体"/>
                <w:vertAlign w:val="superscript"/>
                <w:lang w:val="en-US" w:eastAsia="zh-CN"/>
              </w:rPr>
            </w:pPr>
            <w:r>
              <w:rPr>
                <w:rFonts w:hint="eastAsia" w:eastAsia="宋体"/>
                <w:color w:val="000000"/>
                <w:szCs w:val="18"/>
                <w:lang w:val="en-US" w:eastAsia="zh-CN"/>
              </w:rPr>
              <w:t>400</w:t>
            </w:r>
            <w:r>
              <w:rPr>
                <w:rFonts w:eastAsia="Yu Mincho"/>
              </w:rPr>
              <w:t>MHz</w:t>
            </w:r>
            <w:r>
              <w:rPr>
                <w:rFonts w:hint="eastAsia" w:eastAsia="宋体"/>
                <w:lang w:val="en-US" w:eastAsia="zh-CN"/>
              </w:rPr>
              <w:t>/200MHz</w:t>
            </w:r>
            <w:r>
              <w:rPr>
                <w:rFonts w:hint="eastAsia" w:eastAsia="宋体"/>
                <w:vertAlign w:val="superscript"/>
                <w:lang w:val="en-US" w:eastAsia="zh-CN"/>
              </w:rPr>
              <w:t>3</w:t>
            </w:r>
          </w:p>
        </w:tc>
        <w:tc>
          <w:tcPr>
            <w:tcW w:w="804" w:type="pct"/>
          </w:tcPr>
          <w:p>
            <w:pPr>
              <w:pStyle w:val="37"/>
              <w:overflowPunct w:val="0"/>
              <w:autoSpaceDE w:val="0"/>
              <w:autoSpaceDN w:val="0"/>
              <w:adjustRightInd w:val="0"/>
              <w:spacing w:after="180"/>
              <w:textAlignment w:val="baseline"/>
              <w:rPr>
                <w:rFonts w:hint="default" w:eastAsia="宋体"/>
                <w:lang w:val="en-US" w:eastAsia="zh-CN"/>
              </w:rPr>
            </w:pPr>
            <w:r>
              <w:rPr>
                <w:rFonts w:hint="eastAsia" w:eastAsia="宋体"/>
                <w:lang w:val="en-US" w:eastAsia="zh-CN"/>
              </w:rPr>
              <w:t>FDD</w:t>
            </w:r>
          </w:p>
        </w:tc>
        <w:tc>
          <w:tcPr>
            <w:tcW w:w="683" w:type="pct"/>
          </w:tcPr>
          <w:p>
            <w:pPr>
              <w:pStyle w:val="37"/>
              <w:overflowPunct w:val="0"/>
              <w:autoSpaceDE w:val="0"/>
              <w:autoSpaceDN w:val="0"/>
              <w:adjustRightInd w:val="0"/>
              <w:spacing w:after="180"/>
              <w:textAlignment w:val="baseline"/>
              <w:rPr>
                <w:rFonts w:hint="default" w:eastAsia="宋体"/>
                <w:vertAlign w:val="superscript"/>
                <w:lang w:val="en-US" w:eastAsia="zh-CN"/>
              </w:rPr>
            </w:pPr>
            <w:r>
              <w:rPr>
                <w:rFonts w:hint="eastAsia" w:eastAsia="宋体"/>
                <w:lang w:val="en-US" w:eastAsia="zh-CN"/>
              </w:rPr>
              <w:t>1, 3</w:t>
            </w:r>
            <w:r>
              <w:rPr>
                <w:rFonts w:hint="eastAsia" w:eastAsia="宋体"/>
                <w:vertAlign w:val="superscript"/>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17" w:type="pct"/>
          </w:tcPr>
          <w:p>
            <w:pPr>
              <w:pStyle w:val="37"/>
              <w:overflowPunct w:val="0"/>
              <w:autoSpaceDE w:val="0"/>
              <w:autoSpaceDN w:val="0"/>
              <w:adjustRightInd w:val="0"/>
              <w:spacing w:after="180"/>
              <w:textAlignment w:val="baseline"/>
              <w:rPr>
                <w:rFonts w:eastAsia="Yu Mincho"/>
              </w:rPr>
            </w:pPr>
            <w:r>
              <w:rPr>
                <w:rFonts w:hint="eastAsia" w:eastAsia="Yu Mincho"/>
              </w:rPr>
              <w:t>LEO</w:t>
            </w:r>
          </w:p>
        </w:tc>
        <w:tc>
          <w:tcPr>
            <w:tcW w:w="678" w:type="pct"/>
          </w:tcPr>
          <w:p>
            <w:pPr>
              <w:pStyle w:val="37"/>
              <w:overflowPunct w:val="0"/>
              <w:autoSpaceDE w:val="0"/>
              <w:autoSpaceDN w:val="0"/>
              <w:adjustRightInd w:val="0"/>
              <w:spacing w:after="180"/>
              <w:textAlignment w:val="baseline"/>
              <w:rPr>
                <w:rFonts w:eastAsia="Yu Mincho"/>
              </w:rPr>
            </w:pPr>
            <w:r>
              <w:rPr>
                <w:rFonts w:hint="eastAsia" w:eastAsia="宋体"/>
                <w:lang w:val="en-US" w:eastAsia="zh-CN"/>
              </w:rPr>
              <w:t>30</w:t>
            </w:r>
            <w:r>
              <w:rPr>
                <w:rFonts w:hint="eastAsia" w:eastAsia="Yu Mincho"/>
              </w:rPr>
              <w:t xml:space="preserve"> GHz</w:t>
            </w:r>
          </w:p>
        </w:tc>
        <w:tc>
          <w:tcPr>
            <w:tcW w:w="1914" w:type="pct"/>
          </w:tcPr>
          <w:p>
            <w:pPr>
              <w:pStyle w:val="37"/>
              <w:overflowPunct w:val="0"/>
              <w:autoSpaceDE w:val="0"/>
              <w:autoSpaceDN w:val="0"/>
              <w:adjustRightInd w:val="0"/>
              <w:spacing w:after="180"/>
              <w:textAlignment w:val="baseline"/>
              <w:rPr>
                <w:rFonts w:hint="eastAsia" w:eastAsia="宋体"/>
                <w:lang w:eastAsia="zh-CN"/>
              </w:rPr>
            </w:pPr>
            <w:r>
              <w:rPr>
                <w:rFonts w:hint="eastAsia" w:eastAsia="宋体"/>
                <w:color w:val="000000"/>
                <w:szCs w:val="18"/>
                <w:lang w:val="en-US" w:eastAsia="zh-CN"/>
              </w:rPr>
              <w:t>400</w:t>
            </w:r>
            <w:r>
              <w:rPr>
                <w:rFonts w:eastAsia="Yu Mincho"/>
              </w:rPr>
              <w:t>MHz</w:t>
            </w:r>
            <w:r>
              <w:rPr>
                <w:rFonts w:hint="eastAsia" w:eastAsia="宋体"/>
                <w:lang w:val="en-US" w:eastAsia="zh-CN"/>
              </w:rPr>
              <w:t>/200MHz</w:t>
            </w:r>
            <w:r>
              <w:rPr>
                <w:rFonts w:hint="eastAsia" w:eastAsia="宋体"/>
                <w:i/>
                <w:iCs/>
                <w:vertAlign w:val="superscript"/>
                <w:lang w:val="en-US" w:eastAsia="zh-CN"/>
              </w:rPr>
              <w:t>3</w:t>
            </w:r>
          </w:p>
        </w:tc>
        <w:tc>
          <w:tcPr>
            <w:tcW w:w="804" w:type="pct"/>
          </w:tcPr>
          <w:p>
            <w:pPr>
              <w:pStyle w:val="37"/>
              <w:overflowPunct w:val="0"/>
              <w:autoSpaceDE w:val="0"/>
              <w:autoSpaceDN w:val="0"/>
              <w:adjustRightInd w:val="0"/>
              <w:spacing w:after="180"/>
              <w:textAlignment w:val="baseline"/>
              <w:rPr>
                <w:rFonts w:eastAsia="Yu Mincho"/>
              </w:rPr>
            </w:pPr>
            <w:r>
              <w:rPr>
                <w:rFonts w:hint="eastAsia" w:eastAsia="Yu Mincho"/>
              </w:rPr>
              <w:t>FDD</w:t>
            </w:r>
          </w:p>
        </w:tc>
        <w:tc>
          <w:tcPr>
            <w:tcW w:w="683" w:type="pct"/>
          </w:tcPr>
          <w:p>
            <w:pPr>
              <w:pStyle w:val="37"/>
              <w:overflowPunct w:val="0"/>
              <w:autoSpaceDE w:val="0"/>
              <w:autoSpaceDN w:val="0"/>
              <w:adjustRightInd w:val="0"/>
              <w:spacing w:after="180"/>
              <w:textAlignment w:val="baseline"/>
              <w:rPr>
                <w:rFonts w:eastAsia="Yu Mincho"/>
              </w:rPr>
            </w:pPr>
            <w:r>
              <w:rPr>
                <w:rFonts w:eastAsia="Yu Mincho"/>
              </w:rPr>
              <w:t>1, 3</w:t>
            </w:r>
            <w:r>
              <w:rPr>
                <w:rFonts w:hint="eastAsia" w:eastAsia="宋体"/>
                <w:vertAlign w:val="superscript"/>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tcPr>
          <w:p>
            <w:pPr>
              <w:pStyle w:val="49"/>
              <w:overflowPunct w:val="0"/>
              <w:autoSpaceDE w:val="0"/>
              <w:autoSpaceDN w:val="0"/>
              <w:adjustRightInd w:val="0"/>
              <w:spacing w:after="180"/>
              <w:textAlignment w:val="baseline"/>
              <w:rPr>
                <w:rFonts w:hint="eastAsia" w:eastAsia="宋体"/>
                <w:lang w:val="en-US" w:eastAsia="zh-CN"/>
              </w:rPr>
            </w:pPr>
            <w:r>
              <w:rPr>
                <w:rFonts w:hint="eastAsia" w:eastAsia="Yu Mincho"/>
              </w:rPr>
              <w:t>N</w:t>
            </w:r>
            <w:r>
              <w:rPr>
                <w:rFonts w:eastAsia="Yu Mincho"/>
              </w:rPr>
              <w:t>OTE</w:t>
            </w:r>
            <w:r>
              <w:rPr>
                <w:rFonts w:hint="eastAsia" w:eastAsia="宋体"/>
                <w:lang w:val="en-US" w:eastAsia="zh-CN"/>
              </w:rPr>
              <w:t xml:space="preserve"> 1</w:t>
            </w:r>
            <w:r>
              <w:rPr>
                <w:rFonts w:hint="eastAsia" w:eastAsia="Yu Mincho"/>
              </w:rPr>
              <w:t>:</w:t>
            </w:r>
            <w:r>
              <w:rPr>
                <w:rFonts w:eastAsia="Yu Mincho"/>
              </w:rPr>
              <w:tab/>
            </w:r>
            <w:r>
              <w:rPr>
                <w:rFonts w:hint="eastAsia" w:eastAsia="宋体"/>
                <w:lang w:val="en-US" w:eastAsia="zh-CN"/>
              </w:rPr>
              <w:t>For mmWave</w:t>
            </w:r>
            <w:r>
              <w:rPr>
                <w:rFonts w:hint="eastAsia"/>
                <w:lang w:val="en-US" w:eastAsia="zh-CN"/>
              </w:rPr>
              <w:t xml:space="preserve"> frequency</w:t>
            </w:r>
            <w:r>
              <w:rPr>
                <w:rFonts w:hint="eastAsia" w:eastAsia="宋体"/>
                <w:lang w:val="en-US" w:eastAsia="zh-CN"/>
              </w:rPr>
              <w:t>, the rural area deployment does not consider in general. Whether we need to consider the rural area deployment can be further discussed.</w:t>
            </w:r>
          </w:p>
          <w:p>
            <w:pPr>
              <w:pStyle w:val="49"/>
              <w:overflowPunct w:val="0"/>
              <w:autoSpaceDE w:val="0"/>
              <w:autoSpaceDN w:val="0"/>
              <w:adjustRightInd w:val="0"/>
              <w:spacing w:after="180"/>
              <w:textAlignment w:val="baseline"/>
              <w:rPr>
                <w:rFonts w:eastAsia="Yu Mincho"/>
              </w:rPr>
            </w:pPr>
            <w:r>
              <w:rPr>
                <w:rFonts w:hint="eastAsia" w:eastAsia="宋体"/>
                <w:lang w:val="en-US" w:eastAsia="zh-CN"/>
              </w:rPr>
              <w:t xml:space="preserve">NOTE 2: </w:t>
            </w:r>
            <w:r>
              <w:rPr>
                <w:rFonts w:eastAsia="Yu Mincho"/>
              </w:rPr>
              <w:t>Only FRF=1 has been used in co-existence studies for simplification.</w:t>
            </w:r>
          </w:p>
          <w:p>
            <w:pPr>
              <w:pStyle w:val="49"/>
              <w:overflowPunct w:val="0"/>
              <w:autoSpaceDE w:val="0"/>
              <w:autoSpaceDN w:val="0"/>
              <w:adjustRightInd w:val="0"/>
              <w:spacing w:after="180"/>
              <w:textAlignment w:val="baseline"/>
              <w:rPr>
                <w:rFonts w:hint="default" w:eastAsia="宋体"/>
                <w:lang w:val="en-US" w:eastAsia="zh-CN"/>
              </w:rPr>
            </w:pPr>
            <w:r>
              <w:rPr>
                <w:rFonts w:hint="eastAsia" w:eastAsia="宋体"/>
                <w:lang w:val="en-US" w:eastAsia="zh-CN"/>
              </w:rPr>
              <w:t>NOTE 3</w:t>
            </w:r>
            <w:r>
              <w:rPr>
                <w:rFonts w:hint="eastAsia"/>
                <w:lang w:val="en-US" w:eastAsia="zh-CN"/>
              </w:rPr>
              <w:t xml:space="preserve">: </w:t>
            </w:r>
            <w:r>
              <w:rPr>
                <w:rFonts w:hint="eastAsia" w:eastAsia="宋体"/>
                <w:lang w:val="en-US" w:eastAsia="zh-CN"/>
              </w:rPr>
              <w:t>Max BW per beam is 400MHz for Ka-band according to Table 6.1.1.1-5 and Table 6.1.3.2-1 of 38.821.</w:t>
            </w:r>
          </w:p>
        </w:tc>
      </w:tr>
    </w:tbl>
    <w:p>
      <w:pPr>
        <w:jc w:val="center"/>
        <w:rPr>
          <w:rFonts w:hint="default"/>
          <w:b/>
          <w:bCs/>
          <w:lang w:val="en-US" w:eastAsia="zh-CN"/>
        </w:rPr>
      </w:pPr>
    </w:p>
    <w:p>
      <w:pPr>
        <w:autoSpaceDE/>
        <w:autoSpaceDN/>
        <w:adjustRightInd/>
        <w:snapToGrid/>
        <w:spacing w:before="0" w:beforeLines="-2147483648" w:after="0" w:afterLines="-2147483648" w:line="240" w:lineRule="auto"/>
        <w:jc w:val="left"/>
        <w:rPr>
          <w:rFonts w:hint="default" w:cs="Times New Roman"/>
          <w:sz w:val="22"/>
          <w:szCs w:val="22"/>
          <w:lang w:val="en-US" w:eastAsia="zh-CN"/>
        </w:rPr>
      </w:pPr>
      <w:r>
        <w:rPr>
          <w:rFonts w:hint="eastAsia" w:cs="Times New Roman"/>
          <w:b/>
          <w:bCs/>
          <w:sz w:val="22"/>
          <w:szCs w:val="22"/>
          <w:lang w:val="en-US" w:eastAsia="zh-CN"/>
        </w:rPr>
        <w:t>Proposal 1</w:t>
      </w:r>
      <w:r>
        <w:rPr>
          <w:rFonts w:hint="eastAsia" w:cs="Times New Roman"/>
          <w:sz w:val="22"/>
          <w:szCs w:val="22"/>
          <w:lang w:val="en-US" w:eastAsia="zh-CN"/>
        </w:rPr>
        <w:t>: to consider the coexistence scenario in Table 2.1-1 and proposed frequency and bandwidth configuration in Table 2.1-2 for Ka band NTN coexistence study in Rel-18.</w:t>
      </w:r>
    </w:p>
    <w:p>
      <w:pPr>
        <w:keepNext w:val="0"/>
        <w:keepLines w:val="0"/>
        <w:pageBreakBefore w:val="0"/>
        <w:widowControl w:val="0"/>
        <w:kinsoku/>
        <w:wordWrap/>
        <w:overflowPunct/>
        <w:topLinePunct w:val="0"/>
        <w:autoSpaceDE/>
        <w:autoSpaceDN/>
        <w:bidi w:val="0"/>
        <w:adjustRightInd/>
        <w:snapToGrid/>
        <w:textAlignment w:val="auto"/>
        <w:outlineLvl w:val="1"/>
        <w:rPr>
          <w:rFonts w:hint="eastAsia" w:ascii="Arial" w:hAnsi="Arial" w:cs="Arial"/>
          <w:sz w:val="28"/>
          <w:szCs w:val="28"/>
          <w:lang w:val="en-US" w:eastAsia="zh-CN"/>
        </w:rPr>
      </w:pPr>
      <w:r>
        <w:rPr>
          <w:rFonts w:hint="eastAsia" w:ascii="Arial" w:hAnsi="Arial" w:cs="Arial"/>
          <w:sz w:val="28"/>
          <w:szCs w:val="28"/>
          <w:lang w:val="en-US" w:eastAsia="zh-CN"/>
        </w:rPr>
        <w:t>2.2. System parameters</w:t>
      </w:r>
    </w:p>
    <w:p>
      <w:pPr>
        <w:pStyle w:val="4"/>
        <w:keepNext/>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2"/>
        <w:rPr>
          <w:rFonts w:cs="Arial"/>
          <w:b w:val="0"/>
          <w:bCs w:val="0"/>
        </w:rPr>
      </w:pPr>
      <w:bookmarkStart w:id="8" w:name="_Toc104122348"/>
      <w:bookmarkStart w:id="9" w:name="_Toc104210154"/>
      <w:bookmarkStart w:id="10" w:name="_Toc104502866"/>
      <w:bookmarkStart w:id="11" w:name="_Toc87889243"/>
      <w:bookmarkStart w:id="12" w:name="_Toc94170344"/>
      <w:r>
        <w:rPr>
          <w:rFonts w:cs="Arial"/>
          <w:b w:val="0"/>
          <w:bCs w:val="0"/>
        </w:rPr>
        <w:t>2.2.1</w:t>
      </w:r>
      <w:r>
        <w:rPr>
          <w:rFonts w:cs="Arial"/>
          <w:b w:val="0"/>
          <w:bCs w:val="0"/>
        </w:rPr>
        <w:tab/>
      </w:r>
      <w:r>
        <w:rPr>
          <w:rFonts w:hint="eastAsia" w:cs="Arial"/>
          <w:b w:val="0"/>
          <w:bCs w:val="0"/>
          <w:lang w:val="en-US" w:eastAsia="zh-CN"/>
        </w:rPr>
        <w:t xml:space="preserve">NTN BS </w:t>
      </w:r>
      <w:r>
        <w:rPr>
          <w:rFonts w:cs="Arial"/>
          <w:b w:val="0"/>
          <w:bCs w:val="0"/>
        </w:rPr>
        <w:t>parameters</w:t>
      </w:r>
      <w:bookmarkEnd w:id="8"/>
      <w:bookmarkEnd w:id="9"/>
      <w:bookmarkEnd w:id="10"/>
      <w:bookmarkEnd w:id="11"/>
      <w:bookmarkEnd w:id="12"/>
    </w:p>
    <w:p>
      <w:pPr>
        <w:spacing w:after="0"/>
        <w:jc w:val="left"/>
        <w:rPr>
          <w:rFonts w:hint="eastAsia" w:eastAsia="宋体"/>
          <w:sz w:val="22"/>
          <w:lang w:val="en-US" w:eastAsia="zh-CN"/>
        </w:rPr>
      </w:pPr>
      <w:r>
        <w:rPr>
          <w:rFonts w:hint="eastAsia" w:eastAsia="宋体"/>
          <w:sz w:val="22"/>
          <w:lang w:val="en-US" w:eastAsia="zh-CN"/>
        </w:rPr>
        <w:t>The general</w:t>
      </w:r>
      <w:r>
        <w:rPr>
          <w:rFonts w:hint="eastAsia" w:eastAsia="宋体"/>
          <w:sz w:val="22"/>
        </w:rPr>
        <w:t xml:space="preserve"> parameters</w:t>
      </w:r>
      <w:r>
        <w:rPr>
          <w:rFonts w:hint="eastAsia" w:eastAsia="宋体"/>
          <w:sz w:val="22"/>
          <w:lang w:val="en-US" w:eastAsia="zh-CN"/>
        </w:rPr>
        <w:t xml:space="preserve"> for </w:t>
      </w:r>
      <w:r>
        <w:rPr>
          <w:rFonts w:hint="eastAsia"/>
          <w:sz w:val="22"/>
          <w:lang w:val="en-US" w:eastAsia="zh-CN"/>
        </w:rPr>
        <w:t>NTN</w:t>
      </w:r>
      <w:r>
        <w:rPr>
          <w:rFonts w:hint="eastAsia" w:eastAsia="宋体"/>
          <w:sz w:val="22"/>
          <w:lang w:val="en-US" w:eastAsia="zh-CN"/>
        </w:rPr>
        <w:t xml:space="preserve"> network coexistence study</w:t>
      </w:r>
      <w:r>
        <w:rPr>
          <w:rFonts w:hint="eastAsia" w:eastAsia="宋体"/>
          <w:sz w:val="22"/>
        </w:rPr>
        <w:t xml:space="preserve"> are </w:t>
      </w:r>
      <w:r>
        <w:rPr>
          <w:rFonts w:hint="eastAsia" w:eastAsia="宋体"/>
          <w:sz w:val="22"/>
          <w:lang w:val="en-US" w:eastAsia="zh-CN"/>
        </w:rPr>
        <w:t>listed in the following Table 2.2.1-1</w:t>
      </w:r>
      <w:r>
        <w:rPr>
          <w:rFonts w:hint="eastAsia"/>
          <w:sz w:val="22"/>
          <w:lang w:val="en-US" w:eastAsia="zh-CN"/>
        </w:rPr>
        <w:t xml:space="preserve"> and Table 2.2.1-2</w:t>
      </w:r>
      <w:r>
        <w:rPr>
          <w:rFonts w:hint="eastAsia" w:eastAsia="宋体"/>
          <w:sz w:val="22"/>
          <w:lang w:val="en-US" w:eastAsia="zh-CN"/>
        </w:rPr>
        <w:t>.</w:t>
      </w:r>
    </w:p>
    <w:p>
      <w:pPr>
        <w:pStyle w:val="46"/>
        <w:rPr>
          <w:rFonts w:hint="default" w:eastAsia="宋体"/>
          <w:lang w:val="en-US" w:eastAsia="zh-CN"/>
        </w:rPr>
      </w:pPr>
      <w:bookmarkStart w:id="13" w:name="_Toc87889244"/>
      <w:r>
        <w:t xml:space="preserve">Table </w:t>
      </w:r>
      <w:r>
        <w:rPr>
          <w:rFonts w:hint="eastAsia"/>
          <w:lang w:val="en-US" w:eastAsia="zh-CN"/>
        </w:rPr>
        <w:t>2</w:t>
      </w:r>
      <w:r>
        <w:t>.</w:t>
      </w:r>
      <w:r>
        <w:rPr>
          <w:rFonts w:hint="eastAsia"/>
          <w:lang w:val="en-US" w:eastAsia="zh-CN"/>
        </w:rPr>
        <w:t>2</w:t>
      </w:r>
      <w:r>
        <w:t xml:space="preserve">.1-1: Set-1 satellite parameters for system level </w:t>
      </w:r>
      <w:r>
        <w:rPr>
          <w:rFonts w:hint="eastAsia"/>
          <w:lang w:val="en-US" w:eastAsia="zh-CN"/>
        </w:rPr>
        <w:t>simulation</w:t>
      </w:r>
    </w:p>
    <w:tbl>
      <w:tblPr>
        <w:tblStyle w:val="2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1"/>
        <w:gridCol w:w="1133"/>
        <w:gridCol w:w="2014"/>
        <w:gridCol w:w="2074"/>
        <w:gridCol w:w="20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0" w:type="dxa"/>
            <w:gridSpan w:val="2"/>
            <w:noWrap w:val="0"/>
            <w:vAlign w:val="center"/>
          </w:tcPr>
          <w:p>
            <w:pPr>
              <w:pStyle w:val="37"/>
            </w:pPr>
            <w:r>
              <w:t>Satellite orbit</w:t>
            </w:r>
          </w:p>
        </w:tc>
        <w:tc>
          <w:tcPr>
            <w:tcW w:w="1723" w:type="dxa"/>
            <w:noWrap w:val="0"/>
            <w:vAlign w:val="center"/>
          </w:tcPr>
          <w:p>
            <w:pPr>
              <w:pStyle w:val="37"/>
            </w:pPr>
            <w:r>
              <w:t>GEO</w:t>
            </w:r>
          </w:p>
        </w:tc>
        <w:tc>
          <w:tcPr>
            <w:tcW w:w="1774" w:type="dxa"/>
            <w:noWrap w:val="0"/>
            <w:vAlign w:val="center"/>
          </w:tcPr>
          <w:p>
            <w:pPr>
              <w:pStyle w:val="37"/>
            </w:pPr>
            <w:r>
              <w:t>LEO-1200</w:t>
            </w:r>
          </w:p>
        </w:tc>
        <w:tc>
          <w:tcPr>
            <w:tcW w:w="1746" w:type="dxa"/>
            <w:noWrap w:val="0"/>
            <w:vAlign w:val="center"/>
          </w:tcPr>
          <w:p>
            <w:pPr>
              <w:pStyle w:val="37"/>
            </w:pPr>
            <w:r>
              <w:t>LEO-600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0" w:type="dxa"/>
            <w:gridSpan w:val="2"/>
            <w:noWrap w:val="0"/>
            <w:vAlign w:val="center"/>
          </w:tcPr>
          <w:p>
            <w:pPr>
              <w:pStyle w:val="37"/>
            </w:pPr>
            <w:r>
              <w:t>Satellite altitude</w:t>
            </w:r>
          </w:p>
        </w:tc>
        <w:tc>
          <w:tcPr>
            <w:tcW w:w="1723" w:type="dxa"/>
            <w:noWrap w:val="0"/>
            <w:vAlign w:val="center"/>
          </w:tcPr>
          <w:p>
            <w:pPr>
              <w:pStyle w:val="37"/>
            </w:pPr>
            <w:r>
              <w:t>35786 km</w:t>
            </w:r>
          </w:p>
        </w:tc>
        <w:tc>
          <w:tcPr>
            <w:tcW w:w="1774" w:type="dxa"/>
            <w:noWrap w:val="0"/>
            <w:vAlign w:val="center"/>
          </w:tcPr>
          <w:p>
            <w:pPr>
              <w:pStyle w:val="37"/>
            </w:pPr>
            <w:r>
              <w:t>1200 km</w:t>
            </w:r>
          </w:p>
        </w:tc>
        <w:tc>
          <w:tcPr>
            <w:tcW w:w="1746" w:type="dxa"/>
            <w:noWrap w:val="0"/>
            <w:vAlign w:val="center"/>
          </w:tcPr>
          <w:p>
            <w:pPr>
              <w:pStyle w:val="37"/>
            </w:pPr>
            <w:r>
              <w:t>600 km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0" w:type="dxa"/>
            <w:gridSpan w:val="2"/>
            <w:noWrap w:val="0"/>
            <w:vAlign w:val="center"/>
          </w:tcPr>
          <w:p>
            <w:pPr>
              <w:pStyle w:val="37"/>
            </w:pPr>
            <w:r>
              <w:t>Satellite antenna pattern</w:t>
            </w:r>
          </w:p>
        </w:tc>
        <w:tc>
          <w:tcPr>
            <w:tcW w:w="1723" w:type="dxa"/>
            <w:noWrap w:val="0"/>
            <w:vAlign w:val="center"/>
          </w:tcPr>
          <w:p>
            <w:pPr>
              <w:pStyle w:val="37"/>
            </w:pPr>
            <w:r>
              <w:t>Section 6.4.1 in [2]</w:t>
            </w:r>
          </w:p>
        </w:tc>
        <w:tc>
          <w:tcPr>
            <w:tcW w:w="1774" w:type="dxa"/>
            <w:noWrap w:val="0"/>
            <w:vAlign w:val="center"/>
          </w:tcPr>
          <w:p>
            <w:pPr>
              <w:pStyle w:val="37"/>
            </w:pPr>
            <w:r>
              <w:t>Section 6.4.1 in [2]</w:t>
            </w:r>
          </w:p>
        </w:tc>
        <w:tc>
          <w:tcPr>
            <w:tcW w:w="1746" w:type="dxa"/>
            <w:noWrap w:val="0"/>
            <w:vAlign w:val="center"/>
          </w:tcPr>
          <w:p>
            <w:pPr>
              <w:pStyle w:val="37"/>
            </w:pPr>
            <w:r>
              <w:t>Section 6.4.1 in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3" w:type="dxa"/>
            <w:gridSpan w:val="5"/>
            <w:noWrap w:val="0"/>
            <w:vAlign w:val="center"/>
          </w:tcPr>
          <w:p>
            <w:pPr>
              <w:pStyle w:val="37"/>
            </w:pPr>
            <w:r>
              <w:t>Payload characteristics for DL transmissions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11" w:type="dxa"/>
            <w:noWrap w:val="0"/>
            <w:vAlign w:val="center"/>
          </w:tcPr>
          <w:p>
            <w:pPr>
              <w:pStyle w:val="37"/>
            </w:pPr>
            <w:r>
              <w:t>Equivalent satellite antenna aperture (Note 1)</w:t>
            </w:r>
          </w:p>
        </w:tc>
        <w:tc>
          <w:tcPr>
            <w:tcW w:w="969" w:type="dxa"/>
            <w:vMerge w:val="restart"/>
            <w:noWrap w:val="0"/>
            <w:vAlign w:val="center"/>
          </w:tcPr>
          <w:p>
            <w:pPr>
              <w:pStyle w:val="37"/>
            </w:pPr>
            <w:r>
              <w:t>Ka-band</w:t>
            </w:r>
          </w:p>
          <w:p>
            <w:pPr>
              <w:pStyle w:val="37"/>
            </w:pPr>
            <w:r>
              <w:t>(i.e. 20 GHz for DL)</w:t>
            </w:r>
          </w:p>
        </w:tc>
        <w:tc>
          <w:tcPr>
            <w:tcW w:w="1723" w:type="dxa"/>
            <w:noWrap w:val="0"/>
            <w:vAlign w:val="center"/>
          </w:tcPr>
          <w:p>
            <w:pPr>
              <w:pStyle w:val="37"/>
            </w:pPr>
            <w:r>
              <w:t>5 m</w:t>
            </w:r>
          </w:p>
        </w:tc>
        <w:tc>
          <w:tcPr>
            <w:tcW w:w="1774" w:type="dxa"/>
            <w:noWrap w:val="0"/>
            <w:vAlign w:val="center"/>
          </w:tcPr>
          <w:p>
            <w:pPr>
              <w:pStyle w:val="37"/>
            </w:pPr>
            <w:r>
              <w:t>0.5 m</w:t>
            </w:r>
          </w:p>
        </w:tc>
        <w:tc>
          <w:tcPr>
            <w:tcW w:w="1746" w:type="dxa"/>
            <w:noWrap w:val="0"/>
            <w:vAlign w:val="center"/>
          </w:tcPr>
          <w:p>
            <w:pPr>
              <w:pStyle w:val="37"/>
            </w:pPr>
            <w:r>
              <w:t>0.5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11" w:type="dxa"/>
            <w:noWrap w:val="0"/>
            <w:vAlign w:val="center"/>
          </w:tcPr>
          <w:p>
            <w:pPr>
              <w:pStyle w:val="37"/>
            </w:pPr>
            <w:r>
              <w:t>Satellite EIRP density</w:t>
            </w:r>
          </w:p>
        </w:tc>
        <w:tc>
          <w:tcPr>
            <w:tcW w:w="969" w:type="dxa"/>
            <w:vMerge w:val="continue"/>
            <w:noWrap w:val="0"/>
            <w:vAlign w:val="center"/>
          </w:tcPr>
          <w:p>
            <w:pPr>
              <w:pStyle w:val="37"/>
            </w:pPr>
          </w:p>
        </w:tc>
        <w:tc>
          <w:tcPr>
            <w:tcW w:w="1723" w:type="dxa"/>
            <w:noWrap w:val="0"/>
            <w:vAlign w:val="center"/>
          </w:tcPr>
          <w:p>
            <w:pPr>
              <w:pStyle w:val="37"/>
            </w:pPr>
            <w:r>
              <w:t>40 dBW/MHz</w:t>
            </w:r>
          </w:p>
        </w:tc>
        <w:tc>
          <w:tcPr>
            <w:tcW w:w="1774" w:type="dxa"/>
            <w:noWrap w:val="0"/>
            <w:vAlign w:val="center"/>
          </w:tcPr>
          <w:p>
            <w:pPr>
              <w:pStyle w:val="37"/>
            </w:pPr>
            <w:r>
              <w:t>10 dBW/MHz</w:t>
            </w:r>
          </w:p>
        </w:tc>
        <w:tc>
          <w:tcPr>
            <w:tcW w:w="1746" w:type="dxa"/>
            <w:noWrap w:val="0"/>
            <w:vAlign w:val="center"/>
          </w:tcPr>
          <w:p>
            <w:pPr>
              <w:pStyle w:val="37"/>
            </w:pPr>
            <w:r>
              <w:t>4 dBW/MHz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11" w:type="dxa"/>
            <w:noWrap w:val="0"/>
            <w:vAlign w:val="center"/>
          </w:tcPr>
          <w:p>
            <w:pPr>
              <w:pStyle w:val="37"/>
            </w:pPr>
            <w:r>
              <w:t>Satellite Tx max Gain</w:t>
            </w:r>
          </w:p>
        </w:tc>
        <w:tc>
          <w:tcPr>
            <w:tcW w:w="969" w:type="dxa"/>
            <w:vMerge w:val="continue"/>
            <w:noWrap w:val="0"/>
            <w:vAlign w:val="center"/>
          </w:tcPr>
          <w:p>
            <w:pPr>
              <w:pStyle w:val="37"/>
            </w:pPr>
          </w:p>
        </w:tc>
        <w:tc>
          <w:tcPr>
            <w:tcW w:w="1723" w:type="dxa"/>
            <w:noWrap w:val="0"/>
            <w:vAlign w:val="center"/>
          </w:tcPr>
          <w:p>
            <w:pPr>
              <w:pStyle w:val="37"/>
            </w:pPr>
            <w:r>
              <w:t>58.5 dBi</w:t>
            </w:r>
          </w:p>
        </w:tc>
        <w:tc>
          <w:tcPr>
            <w:tcW w:w="1774" w:type="dxa"/>
            <w:noWrap w:val="0"/>
            <w:vAlign w:val="center"/>
          </w:tcPr>
          <w:p>
            <w:pPr>
              <w:pStyle w:val="37"/>
            </w:pPr>
            <w:r>
              <w:t>38.5 dBi</w:t>
            </w:r>
          </w:p>
        </w:tc>
        <w:tc>
          <w:tcPr>
            <w:tcW w:w="1746" w:type="dxa"/>
            <w:noWrap w:val="0"/>
            <w:vAlign w:val="center"/>
          </w:tcPr>
          <w:p>
            <w:pPr>
              <w:pStyle w:val="37"/>
            </w:pPr>
            <w:r>
              <w:t>38.5 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11" w:type="dxa"/>
            <w:noWrap w:val="0"/>
            <w:vAlign w:val="center"/>
          </w:tcPr>
          <w:p>
            <w:pPr>
              <w:pStyle w:val="37"/>
            </w:pPr>
            <w:r>
              <w:t>3dB beamwidth</w:t>
            </w:r>
          </w:p>
        </w:tc>
        <w:tc>
          <w:tcPr>
            <w:tcW w:w="969" w:type="dxa"/>
            <w:vMerge w:val="continue"/>
            <w:noWrap w:val="0"/>
            <w:vAlign w:val="center"/>
          </w:tcPr>
          <w:p>
            <w:pPr>
              <w:pStyle w:val="37"/>
            </w:pPr>
          </w:p>
        </w:tc>
        <w:tc>
          <w:tcPr>
            <w:tcW w:w="1723" w:type="dxa"/>
            <w:noWrap w:val="0"/>
            <w:vAlign w:val="center"/>
          </w:tcPr>
          <w:p>
            <w:pPr>
              <w:pStyle w:val="37"/>
            </w:pPr>
            <w:r>
              <w:t>0.1765 deg</w:t>
            </w:r>
          </w:p>
        </w:tc>
        <w:tc>
          <w:tcPr>
            <w:tcW w:w="1774" w:type="dxa"/>
            <w:noWrap w:val="0"/>
            <w:vAlign w:val="center"/>
          </w:tcPr>
          <w:p>
            <w:pPr>
              <w:pStyle w:val="37"/>
            </w:pPr>
            <w:r>
              <w:t>1.7647 deg</w:t>
            </w:r>
          </w:p>
        </w:tc>
        <w:tc>
          <w:tcPr>
            <w:tcW w:w="1746" w:type="dxa"/>
            <w:noWrap w:val="0"/>
            <w:vAlign w:val="center"/>
          </w:tcPr>
          <w:p>
            <w:pPr>
              <w:pStyle w:val="37"/>
            </w:pPr>
            <w:r>
              <w:t>1.7647 deg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11" w:type="dxa"/>
            <w:noWrap w:val="0"/>
            <w:vAlign w:val="center"/>
          </w:tcPr>
          <w:p>
            <w:pPr>
              <w:pStyle w:val="37"/>
            </w:pPr>
            <w:r>
              <w:t>Satellite beam diameter (Note 2)</w:t>
            </w:r>
          </w:p>
        </w:tc>
        <w:tc>
          <w:tcPr>
            <w:tcW w:w="969" w:type="dxa"/>
            <w:vMerge w:val="continue"/>
            <w:noWrap w:val="0"/>
            <w:vAlign w:val="center"/>
          </w:tcPr>
          <w:p>
            <w:pPr>
              <w:pStyle w:val="37"/>
            </w:pPr>
          </w:p>
        </w:tc>
        <w:tc>
          <w:tcPr>
            <w:tcW w:w="1723" w:type="dxa"/>
            <w:noWrap w:val="0"/>
            <w:vAlign w:val="center"/>
          </w:tcPr>
          <w:p>
            <w:pPr>
              <w:pStyle w:val="37"/>
            </w:pPr>
            <w:r>
              <w:t>110 km</w:t>
            </w:r>
          </w:p>
        </w:tc>
        <w:tc>
          <w:tcPr>
            <w:tcW w:w="1774" w:type="dxa"/>
            <w:noWrap w:val="0"/>
            <w:vAlign w:val="center"/>
          </w:tcPr>
          <w:p>
            <w:pPr>
              <w:pStyle w:val="37"/>
            </w:pPr>
            <w:r>
              <w:t>40 km</w:t>
            </w:r>
          </w:p>
        </w:tc>
        <w:tc>
          <w:tcPr>
            <w:tcW w:w="1746" w:type="dxa"/>
            <w:noWrap w:val="0"/>
            <w:vAlign w:val="center"/>
          </w:tcPr>
          <w:p>
            <w:pPr>
              <w:pStyle w:val="37"/>
            </w:pPr>
            <w:r>
              <w:t>20 km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3" w:type="dxa"/>
            <w:gridSpan w:val="5"/>
            <w:noWrap w:val="0"/>
            <w:vAlign w:val="center"/>
          </w:tcPr>
          <w:p>
            <w:pPr>
              <w:pStyle w:val="37"/>
            </w:pPr>
            <w:r>
              <w:t>Payload characteristics for UL transmissions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11" w:type="dxa"/>
            <w:noWrap w:val="0"/>
            <w:vAlign w:val="center"/>
          </w:tcPr>
          <w:p>
            <w:pPr>
              <w:pStyle w:val="37"/>
            </w:pPr>
            <w:r>
              <w:t>Equivalent satellite antenna aperture (Note1)</w:t>
            </w:r>
          </w:p>
        </w:tc>
        <w:tc>
          <w:tcPr>
            <w:tcW w:w="969" w:type="dxa"/>
            <w:vMerge w:val="restart"/>
            <w:noWrap w:val="0"/>
            <w:vAlign w:val="center"/>
          </w:tcPr>
          <w:p>
            <w:pPr>
              <w:pStyle w:val="37"/>
            </w:pPr>
            <w:r>
              <w:t>Ka-band (i.e. 30 GHz for UL)</w:t>
            </w:r>
          </w:p>
        </w:tc>
        <w:tc>
          <w:tcPr>
            <w:tcW w:w="1723" w:type="dxa"/>
            <w:noWrap w:val="0"/>
            <w:vAlign w:val="center"/>
          </w:tcPr>
          <w:p>
            <w:pPr>
              <w:pStyle w:val="37"/>
            </w:pPr>
            <w:r>
              <w:t>3.33 m</w:t>
            </w:r>
          </w:p>
        </w:tc>
        <w:tc>
          <w:tcPr>
            <w:tcW w:w="1774" w:type="dxa"/>
            <w:noWrap w:val="0"/>
            <w:vAlign w:val="center"/>
          </w:tcPr>
          <w:p>
            <w:pPr>
              <w:pStyle w:val="37"/>
            </w:pPr>
            <w:r>
              <w:t>0.33 m</w:t>
            </w:r>
          </w:p>
        </w:tc>
        <w:tc>
          <w:tcPr>
            <w:tcW w:w="1746" w:type="dxa"/>
            <w:noWrap w:val="0"/>
            <w:vAlign w:val="center"/>
          </w:tcPr>
          <w:p>
            <w:pPr>
              <w:pStyle w:val="37"/>
            </w:pPr>
            <w:r>
              <w:t>0.33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11" w:type="dxa"/>
            <w:noWrap w:val="0"/>
            <w:vAlign w:val="center"/>
          </w:tcPr>
          <w:p>
            <w:pPr>
              <w:pStyle w:val="37"/>
            </w:pPr>
            <w:r>
              <w:t>G/T</w:t>
            </w:r>
          </w:p>
        </w:tc>
        <w:tc>
          <w:tcPr>
            <w:tcW w:w="969" w:type="dxa"/>
            <w:vMerge w:val="continue"/>
            <w:noWrap w:val="0"/>
            <w:vAlign w:val="center"/>
          </w:tcPr>
          <w:p>
            <w:pPr>
              <w:pStyle w:val="37"/>
            </w:pPr>
          </w:p>
        </w:tc>
        <w:tc>
          <w:tcPr>
            <w:tcW w:w="1723" w:type="dxa"/>
            <w:noWrap w:val="0"/>
            <w:vAlign w:val="center"/>
          </w:tcPr>
          <w:p>
            <w:pPr>
              <w:pStyle w:val="37"/>
            </w:pPr>
            <w:r>
              <w:t>28 dB K</w:t>
            </w:r>
            <w:r>
              <w:rPr>
                <w:vertAlign w:val="superscript"/>
              </w:rPr>
              <w:t>-1</w:t>
            </w:r>
          </w:p>
        </w:tc>
        <w:tc>
          <w:tcPr>
            <w:tcW w:w="1774" w:type="dxa"/>
            <w:noWrap w:val="0"/>
            <w:vAlign w:val="center"/>
          </w:tcPr>
          <w:p>
            <w:pPr>
              <w:pStyle w:val="37"/>
            </w:pPr>
            <w:r>
              <w:t>13 dB K</w:t>
            </w:r>
            <w:r>
              <w:rPr>
                <w:vertAlign w:val="superscript"/>
              </w:rPr>
              <w:t>-1</w:t>
            </w:r>
          </w:p>
        </w:tc>
        <w:tc>
          <w:tcPr>
            <w:tcW w:w="1746" w:type="dxa"/>
            <w:noWrap w:val="0"/>
            <w:vAlign w:val="center"/>
          </w:tcPr>
          <w:p>
            <w:pPr>
              <w:pStyle w:val="37"/>
            </w:pPr>
            <w:r>
              <w:t>13 dB K</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11" w:type="dxa"/>
            <w:noWrap w:val="0"/>
            <w:vAlign w:val="center"/>
          </w:tcPr>
          <w:p>
            <w:pPr>
              <w:pStyle w:val="37"/>
            </w:pPr>
            <w:r>
              <w:t>Satellite RX max Gain</w:t>
            </w:r>
          </w:p>
        </w:tc>
        <w:tc>
          <w:tcPr>
            <w:tcW w:w="969" w:type="dxa"/>
            <w:vMerge w:val="continue"/>
            <w:noWrap w:val="0"/>
            <w:vAlign w:val="center"/>
          </w:tcPr>
          <w:p>
            <w:pPr>
              <w:pStyle w:val="37"/>
            </w:pPr>
          </w:p>
        </w:tc>
        <w:tc>
          <w:tcPr>
            <w:tcW w:w="1723" w:type="dxa"/>
            <w:noWrap w:val="0"/>
            <w:vAlign w:val="center"/>
          </w:tcPr>
          <w:p>
            <w:pPr>
              <w:pStyle w:val="37"/>
            </w:pPr>
            <w:r>
              <w:t>58.5 dBi</w:t>
            </w:r>
          </w:p>
        </w:tc>
        <w:tc>
          <w:tcPr>
            <w:tcW w:w="1774" w:type="dxa"/>
            <w:noWrap w:val="0"/>
            <w:vAlign w:val="center"/>
          </w:tcPr>
          <w:p>
            <w:pPr>
              <w:pStyle w:val="37"/>
            </w:pPr>
            <w:r>
              <w:t>38.5 dBi</w:t>
            </w:r>
          </w:p>
        </w:tc>
        <w:tc>
          <w:tcPr>
            <w:tcW w:w="1746" w:type="dxa"/>
            <w:noWrap w:val="0"/>
            <w:vAlign w:val="center"/>
          </w:tcPr>
          <w:p>
            <w:pPr>
              <w:pStyle w:val="37"/>
            </w:pPr>
            <w:r>
              <w:t>38.5 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3" w:type="dxa"/>
            <w:gridSpan w:val="5"/>
            <w:noWrap w:val="0"/>
            <w:vAlign w:val="center"/>
          </w:tcPr>
          <w:p>
            <w:pPr>
              <w:pStyle w:val="49"/>
            </w:pPr>
            <w:r>
              <w:t>NOTE 1: This value is equivalent to the antenna diameter in Sec. 6.4.1 of [2].</w:t>
            </w:r>
          </w:p>
          <w:p>
            <w:pPr>
              <w:pStyle w:val="49"/>
            </w:pPr>
            <w:r>
              <w:t xml:space="preserve">NOTE 2: This beam size refers to the Nadir pointing of the satellite </w:t>
            </w:r>
          </w:p>
          <w:p>
            <w:pPr>
              <w:pStyle w:val="49"/>
            </w:pPr>
            <w:r>
              <w:t>NOTE 3: All these satellite parameters are applied per beam.</w:t>
            </w:r>
          </w:p>
          <w:p>
            <w:pPr>
              <w:pStyle w:val="49"/>
            </w:pPr>
            <w:r>
              <w:t>NOTE 4: The EIRP density values are considered identical for all frequency re-use factor options.</w:t>
            </w:r>
          </w:p>
          <w:p>
            <w:pPr>
              <w:pStyle w:val="49"/>
            </w:pPr>
            <w:r>
              <w:t>NOTE 5: The EIRP density values are provided assuming the satellite HPA is operated with a back-off of [5] dB.</w:t>
            </w:r>
          </w:p>
        </w:tc>
      </w:tr>
    </w:tbl>
    <w:p/>
    <w:p>
      <w:pPr>
        <w:pStyle w:val="46"/>
        <w:rPr>
          <w:rFonts w:hint="default" w:eastAsia="宋体"/>
          <w:lang w:val="en-US" w:eastAsia="zh-CN"/>
        </w:rPr>
      </w:pPr>
      <w:r>
        <w:t xml:space="preserve">Table </w:t>
      </w:r>
      <w:r>
        <w:rPr>
          <w:rFonts w:hint="eastAsia"/>
          <w:lang w:val="en-US" w:eastAsia="zh-CN"/>
        </w:rPr>
        <w:t>2</w:t>
      </w:r>
      <w:r>
        <w:t>.</w:t>
      </w:r>
      <w:r>
        <w:rPr>
          <w:rFonts w:hint="eastAsia"/>
          <w:lang w:val="en-US" w:eastAsia="zh-CN"/>
        </w:rPr>
        <w:t>2</w:t>
      </w:r>
      <w:r>
        <w:t>.1-</w:t>
      </w:r>
      <w:r>
        <w:rPr>
          <w:rFonts w:hint="eastAsia"/>
          <w:lang w:val="en-US" w:eastAsia="zh-CN"/>
        </w:rPr>
        <w:t>2</w:t>
      </w:r>
      <w:r>
        <w:t xml:space="preserve">: Set-2 satellite parameters for system level </w:t>
      </w:r>
      <w:r>
        <w:rPr>
          <w:rFonts w:hint="eastAsia"/>
          <w:lang w:val="en-US" w:eastAsia="zh-CN"/>
        </w:rPr>
        <w:t>simulation</w:t>
      </w:r>
    </w:p>
    <w:tbl>
      <w:tblPr>
        <w:tblStyle w:val="24"/>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1"/>
        <w:gridCol w:w="1825"/>
        <w:gridCol w:w="1877"/>
        <w:gridCol w:w="1877"/>
        <w:gridCol w:w="1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4226" w:type="dxa"/>
            <w:gridSpan w:val="2"/>
            <w:noWrap w:val="0"/>
            <w:vAlign w:val="center"/>
          </w:tcPr>
          <w:p>
            <w:pPr>
              <w:pStyle w:val="37"/>
            </w:pPr>
            <w:r>
              <w:t>Satellite orbit</w:t>
            </w:r>
          </w:p>
        </w:tc>
        <w:tc>
          <w:tcPr>
            <w:tcW w:w="1877" w:type="dxa"/>
            <w:noWrap w:val="0"/>
            <w:vAlign w:val="center"/>
          </w:tcPr>
          <w:p>
            <w:pPr>
              <w:pStyle w:val="37"/>
            </w:pPr>
            <w:r>
              <w:t>GEO</w:t>
            </w:r>
          </w:p>
        </w:tc>
        <w:tc>
          <w:tcPr>
            <w:tcW w:w="1877" w:type="dxa"/>
            <w:noWrap w:val="0"/>
            <w:vAlign w:val="center"/>
          </w:tcPr>
          <w:p>
            <w:pPr>
              <w:pStyle w:val="37"/>
            </w:pPr>
            <w:r>
              <w:t>LEO-1200</w:t>
            </w:r>
          </w:p>
        </w:tc>
        <w:tc>
          <w:tcPr>
            <w:tcW w:w="1877" w:type="dxa"/>
            <w:noWrap w:val="0"/>
            <w:vAlign w:val="center"/>
          </w:tcPr>
          <w:p>
            <w:pPr>
              <w:pStyle w:val="37"/>
            </w:pPr>
            <w:r>
              <w:t>LEO-600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26" w:type="dxa"/>
            <w:gridSpan w:val="2"/>
            <w:noWrap w:val="0"/>
            <w:vAlign w:val="center"/>
          </w:tcPr>
          <w:p>
            <w:pPr>
              <w:pStyle w:val="37"/>
            </w:pPr>
            <w:r>
              <w:t>Satellite altitude</w:t>
            </w:r>
          </w:p>
        </w:tc>
        <w:tc>
          <w:tcPr>
            <w:tcW w:w="1877" w:type="dxa"/>
            <w:noWrap w:val="0"/>
            <w:vAlign w:val="center"/>
          </w:tcPr>
          <w:p>
            <w:pPr>
              <w:pStyle w:val="37"/>
            </w:pPr>
            <w:r>
              <w:t>35786 km</w:t>
            </w:r>
          </w:p>
        </w:tc>
        <w:tc>
          <w:tcPr>
            <w:tcW w:w="1877" w:type="dxa"/>
            <w:noWrap w:val="0"/>
            <w:vAlign w:val="center"/>
          </w:tcPr>
          <w:p>
            <w:pPr>
              <w:pStyle w:val="37"/>
            </w:pPr>
            <w:r>
              <w:t>1200 km</w:t>
            </w:r>
          </w:p>
        </w:tc>
        <w:tc>
          <w:tcPr>
            <w:tcW w:w="1877" w:type="dxa"/>
            <w:noWrap w:val="0"/>
            <w:vAlign w:val="center"/>
          </w:tcPr>
          <w:p>
            <w:pPr>
              <w:pStyle w:val="37"/>
            </w:pPr>
            <w:r>
              <w:t>600 km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jc w:val="center"/>
        </w:trPr>
        <w:tc>
          <w:tcPr>
            <w:tcW w:w="4226" w:type="dxa"/>
            <w:gridSpan w:val="2"/>
            <w:noWrap w:val="0"/>
            <w:vAlign w:val="center"/>
          </w:tcPr>
          <w:p>
            <w:pPr>
              <w:pStyle w:val="37"/>
            </w:pPr>
            <w:r>
              <w:t>Satellite antenna pattern</w:t>
            </w:r>
          </w:p>
        </w:tc>
        <w:tc>
          <w:tcPr>
            <w:tcW w:w="1877" w:type="dxa"/>
            <w:noWrap w:val="0"/>
            <w:vAlign w:val="top"/>
          </w:tcPr>
          <w:p>
            <w:pPr>
              <w:pStyle w:val="37"/>
            </w:pPr>
            <w:r>
              <w:t>Section 6.4.1 in [2]</w:t>
            </w:r>
          </w:p>
        </w:tc>
        <w:tc>
          <w:tcPr>
            <w:tcW w:w="1877" w:type="dxa"/>
            <w:noWrap w:val="0"/>
            <w:vAlign w:val="top"/>
          </w:tcPr>
          <w:p>
            <w:pPr>
              <w:pStyle w:val="37"/>
            </w:pPr>
            <w:r>
              <w:t>Section 6.4.1 in [2]</w:t>
            </w:r>
          </w:p>
        </w:tc>
        <w:tc>
          <w:tcPr>
            <w:tcW w:w="1877" w:type="dxa"/>
            <w:noWrap w:val="0"/>
            <w:vAlign w:val="top"/>
          </w:tcPr>
          <w:p>
            <w:pPr>
              <w:pStyle w:val="37"/>
            </w:pPr>
            <w:r>
              <w:t>Section 6.4.1 in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jc w:val="center"/>
        </w:trPr>
        <w:tc>
          <w:tcPr>
            <w:tcW w:w="9857" w:type="dxa"/>
            <w:gridSpan w:val="5"/>
            <w:noWrap w:val="0"/>
            <w:vAlign w:val="center"/>
          </w:tcPr>
          <w:p>
            <w:pPr>
              <w:pStyle w:val="37"/>
            </w:pPr>
            <w:r>
              <w:t>Payload characteristics for DL transmissions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401" w:type="dxa"/>
            <w:noWrap w:val="0"/>
            <w:vAlign w:val="center"/>
          </w:tcPr>
          <w:p>
            <w:pPr>
              <w:pStyle w:val="37"/>
            </w:pPr>
            <w:r>
              <w:t>Equivalent satellite antenna aperture (Note 1)</w:t>
            </w:r>
          </w:p>
        </w:tc>
        <w:tc>
          <w:tcPr>
            <w:tcW w:w="1825" w:type="dxa"/>
            <w:vMerge w:val="restart"/>
            <w:noWrap w:val="0"/>
            <w:vAlign w:val="center"/>
          </w:tcPr>
          <w:p>
            <w:pPr>
              <w:pStyle w:val="37"/>
            </w:pPr>
            <w:r>
              <w:t>Ka-band</w:t>
            </w:r>
          </w:p>
          <w:p>
            <w:pPr>
              <w:pStyle w:val="37"/>
              <w:rPr>
                <w:b/>
              </w:rPr>
            </w:pPr>
            <w:r>
              <w:t>(i.e. 20 GHz for DL)</w:t>
            </w:r>
          </w:p>
        </w:tc>
        <w:tc>
          <w:tcPr>
            <w:tcW w:w="1877" w:type="dxa"/>
            <w:noWrap w:val="0"/>
            <w:vAlign w:val="center"/>
          </w:tcPr>
          <w:p>
            <w:pPr>
              <w:pStyle w:val="37"/>
            </w:pPr>
            <w:r>
              <w:t>2 m</w:t>
            </w:r>
          </w:p>
        </w:tc>
        <w:tc>
          <w:tcPr>
            <w:tcW w:w="1877" w:type="dxa"/>
            <w:noWrap w:val="0"/>
            <w:vAlign w:val="center"/>
          </w:tcPr>
          <w:p>
            <w:pPr>
              <w:pStyle w:val="37"/>
            </w:pPr>
            <w:r>
              <w:t>0.2 m</w:t>
            </w:r>
          </w:p>
        </w:tc>
        <w:tc>
          <w:tcPr>
            <w:tcW w:w="1877" w:type="dxa"/>
            <w:noWrap w:val="0"/>
            <w:vAlign w:val="center"/>
          </w:tcPr>
          <w:p>
            <w:pPr>
              <w:pStyle w:val="37"/>
            </w:pPr>
            <w:r>
              <w:t>0.2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1" w:type="dxa"/>
            <w:noWrap w:val="0"/>
            <w:vAlign w:val="center"/>
          </w:tcPr>
          <w:p>
            <w:pPr>
              <w:pStyle w:val="37"/>
            </w:pPr>
            <w:r>
              <w:t>Satellite EIRP density</w:t>
            </w:r>
          </w:p>
        </w:tc>
        <w:tc>
          <w:tcPr>
            <w:tcW w:w="1825" w:type="dxa"/>
            <w:vMerge w:val="continue"/>
            <w:noWrap w:val="0"/>
            <w:vAlign w:val="top"/>
          </w:tcPr>
          <w:p>
            <w:pPr>
              <w:pStyle w:val="37"/>
            </w:pPr>
          </w:p>
        </w:tc>
        <w:tc>
          <w:tcPr>
            <w:tcW w:w="1877" w:type="dxa"/>
            <w:noWrap w:val="0"/>
            <w:vAlign w:val="center"/>
          </w:tcPr>
          <w:p>
            <w:pPr>
              <w:pStyle w:val="37"/>
            </w:pPr>
            <w:r>
              <w:t>32 dBW/MHz</w:t>
            </w:r>
          </w:p>
        </w:tc>
        <w:tc>
          <w:tcPr>
            <w:tcW w:w="1877" w:type="dxa"/>
            <w:noWrap w:val="0"/>
            <w:vAlign w:val="center"/>
          </w:tcPr>
          <w:p>
            <w:pPr>
              <w:pStyle w:val="37"/>
            </w:pPr>
            <w:r>
              <w:t>2 dBW/MHz</w:t>
            </w:r>
          </w:p>
        </w:tc>
        <w:tc>
          <w:tcPr>
            <w:tcW w:w="1877" w:type="dxa"/>
            <w:noWrap w:val="0"/>
            <w:vAlign w:val="center"/>
          </w:tcPr>
          <w:p>
            <w:pPr>
              <w:pStyle w:val="37"/>
            </w:pPr>
            <w:r>
              <w:t>-4 dBW/MHz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1" w:type="dxa"/>
            <w:noWrap w:val="0"/>
            <w:vAlign w:val="center"/>
          </w:tcPr>
          <w:p>
            <w:pPr>
              <w:pStyle w:val="37"/>
            </w:pPr>
            <w:r>
              <w:t>Satellite Tx max Gain</w:t>
            </w:r>
          </w:p>
        </w:tc>
        <w:tc>
          <w:tcPr>
            <w:tcW w:w="1825" w:type="dxa"/>
            <w:vMerge w:val="continue"/>
            <w:noWrap w:val="0"/>
            <w:vAlign w:val="top"/>
          </w:tcPr>
          <w:p>
            <w:pPr>
              <w:pStyle w:val="37"/>
            </w:pPr>
          </w:p>
        </w:tc>
        <w:tc>
          <w:tcPr>
            <w:tcW w:w="1877" w:type="dxa"/>
            <w:noWrap w:val="0"/>
            <w:vAlign w:val="center"/>
          </w:tcPr>
          <w:p>
            <w:pPr>
              <w:pStyle w:val="37"/>
            </w:pPr>
            <w:r>
              <w:t>50.5 dBi</w:t>
            </w:r>
          </w:p>
        </w:tc>
        <w:tc>
          <w:tcPr>
            <w:tcW w:w="1877" w:type="dxa"/>
            <w:noWrap w:val="0"/>
            <w:vAlign w:val="center"/>
          </w:tcPr>
          <w:p>
            <w:pPr>
              <w:pStyle w:val="37"/>
            </w:pPr>
            <w:r>
              <w:t>30.5 dBi</w:t>
            </w:r>
          </w:p>
        </w:tc>
        <w:tc>
          <w:tcPr>
            <w:tcW w:w="1877" w:type="dxa"/>
            <w:noWrap w:val="0"/>
            <w:vAlign w:val="center"/>
          </w:tcPr>
          <w:p>
            <w:pPr>
              <w:pStyle w:val="37"/>
            </w:pPr>
            <w:r>
              <w:t>30.5 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1" w:type="dxa"/>
            <w:noWrap w:val="0"/>
            <w:vAlign w:val="center"/>
          </w:tcPr>
          <w:p>
            <w:pPr>
              <w:pStyle w:val="37"/>
            </w:pPr>
            <w:r>
              <w:t>3dB beamwidth</w:t>
            </w:r>
          </w:p>
        </w:tc>
        <w:tc>
          <w:tcPr>
            <w:tcW w:w="1825" w:type="dxa"/>
            <w:vMerge w:val="continue"/>
            <w:noWrap w:val="0"/>
            <w:vAlign w:val="top"/>
          </w:tcPr>
          <w:p>
            <w:pPr>
              <w:pStyle w:val="37"/>
            </w:pPr>
          </w:p>
        </w:tc>
        <w:tc>
          <w:tcPr>
            <w:tcW w:w="1877" w:type="dxa"/>
            <w:noWrap w:val="0"/>
            <w:vAlign w:val="center"/>
          </w:tcPr>
          <w:p>
            <w:pPr>
              <w:pStyle w:val="37"/>
            </w:pPr>
            <w:r>
              <w:t>0.4412 deg</w:t>
            </w:r>
          </w:p>
        </w:tc>
        <w:tc>
          <w:tcPr>
            <w:tcW w:w="1877" w:type="dxa"/>
            <w:noWrap w:val="0"/>
            <w:vAlign w:val="center"/>
          </w:tcPr>
          <w:p>
            <w:pPr>
              <w:pStyle w:val="37"/>
            </w:pPr>
            <w:r>
              <w:t>4.4127 deg</w:t>
            </w:r>
          </w:p>
        </w:tc>
        <w:tc>
          <w:tcPr>
            <w:tcW w:w="1877" w:type="dxa"/>
            <w:noWrap w:val="0"/>
            <w:vAlign w:val="center"/>
          </w:tcPr>
          <w:p>
            <w:pPr>
              <w:pStyle w:val="37"/>
            </w:pPr>
            <w:r>
              <w:t>4.4127 deg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1" w:type="dxa"/>
            <w:noWrap w:val="0"/>
            <w:vAlign w:val="center"/>
          </w:tcPr>
          <w:p>
            <w:pPr>
              <w:pStyle w:val="37"/>
            </w:pPr>
            <w:r>
              <w:t>Satellite beam diameter (Note 2)</w:t>
            </w:r>
          </w:p>
        </w:tc>
        <w:tc>
          <w:tcPr>
            <w:tcW w:w="1825" w:type="dxa"/>
            <w:vMerge w:val="continue"/>
            <w:noWrap w:val="0"/>
            <w:vAlign w:val="top"/>
          </w:tcPr>
          <w:p>
            <w:pPr>
              <w:pStyle w:val="37"/>
            </w:pPr>
          </w:p>
        </w:tc>
        <w:tc>
          <w:tcPr>
            <w:tcW w:w="1877" w:type="dxa"/>
            <w:noWrap w:val="0"/>
            <w:vAlign w:val="center"/>
          </w:tcPr>
          <w:p>
            <w:pPr>
              <w:pStyle w:val="37"/>
            </w:pPr>
            <w:r>
              <w:t>280 km</w:t>
            </w:r>
          </w:p>
        </w:tc>
        <w:tc>
          <w:tcPr>
            <w:tcW w:w="1877" w:type="dxa"/>
            <w:noWrap w:val="0"/>
            <w:vAlign w:val="center"/>
          </w:tcPr>
          <w:p>
            <w:pPr>
              <w:pStyle w:val="37"/>
            </w:pPr>
            <w:r>
              <w:t>90 km</w:t>
            </w:r>
          </w:p>
        </w:tc>
        <w:tc>
          <w:tcPr>
            <w:tcW w:w="1877" w:type="dxa"/>
            <w:noWrap w:val="0"/>
            <w:vAlign w:val="center"/>
          </w:tcPr>
          <w:p>
            <w:pPr>
              <w:pStyle w:val="37"/>
            </w:pPr>
            <w:r>
              <w:t>50 km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57" w:type="dxa"/>
            <w:gridSpan w:val="5"/>
            <w:noWrap w:val="0"/>
            <w:vAlign w:val="center"/>
          </w:tcPr>
          <w:p>
            <w:pPr>
              <w:pStyle w:val="37"/>
            </w:pPr>
            <w:r>
              <w:t>Payload characteristics for UL transmissions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1" w:type="dxa"/>
            <w:noWrap w:val="0"/>
            <w:vAlign w:val="center"/>
          </w:tcPr>
          <w:p>
            <w:pPr>
              <w:pStyle w:val="37"/>
            </w:pPr>
            <w:r>
              <w:t>Equivalent satellite antenna aperture (Note1)</w:t>
            </w:r>
          </w:p>
        </w:tc>
        <w:tc>
          <w:tcPr>
            <w:tcW w:w="1825" w:type="dxa"/>
            <w:vMerge w:val="restart"/>
            <w:noWrap w:val="0"/>
            <w:vAlign w:val="center"/>
          </w:tcPr>
          <w:p>
            <w:pPr>
              <w:pStyle w:val="37"/>
              <w:rPr>
                <w:b/>
              </w:rPr>
            </w:pPr>
            <w:r>
              <w:t>Ka-band (i.e. 30 GHz for UL)</w:t>
            </w:r>
          </w:p>
        </w:tc>
        <w:tc>
          <w:tcPr>
            <w:tcW w:w="1877" w:type="dxa"/>
            <w:noWrap w:val="0"/>
            <w:vAlign w:val="center"/>
          </w:tcPr>
          <w:p>
            <w:pPr>
              <w:pStyle w:val="37"/>
            </w:pPr>
            <w:r>
              <w:t>1.33 m</w:t>
            </w:r>
          </w:p>
        </w:tc>
        <w:tc>
          <w:tcPr>
            <w:tcW w:w="1877" w:type="dxa"/>
            <w:noWrap w:val="0"/>
            <w:vAlign w:val="center"/>
          </w:tcPr>
          <w:p>
            <w:pPr>
              <w:pStyle w:val="37"/>
            </w:pPr>
            <w:r>
              <w:t>0.13 m</w:t>
            </w:r>
          </w:p>
        </w:tc>
        <w:tc>
          <w:tcPr>
            <w:tcW w:w="1877" w:type="dxa"/>
            <w:noWrap w:val="0"/>
            <w:vAlign w:val="center"/>
          </w:tcPr>
          <w:p>
            <w:pPr>
              <w:pStyle w:val="37"/>
            </w:pPr>
            <w:r>
              <w:t>0.13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1" w:type="dxa"/>
            <w:noWrap w:val="0"/>
            <w:vAlign w:val="center"/>
          </w:tcPr>
          <w:p>
            <w:pPr>
              <w:pStyle w:val="37"/>
            </w:pPr>
            <w:r>
              <w:t>G/T</w:t>
            </w:r>
          </w:p>
        </w:tc>
        <w:tc>
          <w:tcPr>
            <w:tcW w:w="1825" w:type="dxa"/>
            <w:vMerge w:val="continue"/>
            <w:noWrap w:val="0"/>
            <w:vAlign w:val="top"/>
          </w:tcPr>
          <w:p>
            <w:pPr>
              <w:pStyle w:val="37"/>
            </w:pPr>
          </w:p>
        </w:tc>
        <w:tc>
          <w:tcPr>
            <w:tcW w:w="1877" w:type="dxa"/>
            <w:noWrap w:val="0"/>
            <w:vAlign w:val="center"/>
          </w:tcPr>
          <w:p>
            <w:pPr>
              <w:pStyle w:val="37"/>
            </w:pPr>
            <w:r>
              <w:t>20 dB K</w:t>
            </w:r>
            <w:r>
              <w:rPr>
                <w:vertAlign w:val="superscript"/>
              </w:rPr>
              <w:t>-1</w:t>
            </w:r>
          </w:p>
        </w:tc>
        <w:tc>
          <w:tcPr>
            <w:tcW w:w="1877" w:type="dxa"/>
            <w:noWrap w:val="0"/>
            <w:vAlign w:val="center"/>
          </w:tcPr>
          <w:p>
            <w:pPr>
              <w:pStyle w:val="37"/>
            </w:pPr>
            <w:r>
              <w:t>5 dB K</w:t>
            </w:r>
            <w:r>
              <w:rPr>
                <w:vertAlign w:val="superscript"/>
              </w:rPr>
              <w:t>-1</w:t>
            </w:r>
          </w:p>
        </w:tc>
        <w:tc>
          <w:tcPr>
            <w:tcW w:w="1877" w:type="dxa"/>
            <w:noWrap w:val="0"/>
            <w:vAlign w:val="center"/>
          </w:tcPr>
          <w:p>
            <w:pPr>
              <w:pStyle w:val="37"/>
            </w:pPr>
            <w:r>
              <w:t>5 dB K</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1" w:type="dxa"/>
            <w:noWrap w:val="0"/>
            <w:vAlign w:val="center"/>
          </w:tcPr>
          <w:p>
            <w:pPr>
              <w:pStyle w:val="37"/>
            </w:pPr>
            <w:r>
              <w:t>Satellite Rx max Gain</w:t>
            </w:r>
          </w:p>
        </w:tc>
        <w:tc>
          <w:tcPr>
            <w:tcW w:w="1825" w:type="dxa"/>
            <w:vMerge w:val="continue"/>
            <w:noWrap w:val="0"/>
            <w:vAlign w:val="top"/>
          </w:tcPr>
          <w:p>
            <w:pPr>
              <w:pStyle w:val="37"/>
            </w:pPr>
          </w:p>
        </w:tc>
        <w:tc>
          <w:tcPr>
            <w:tcW w:w="1877" w:type="dxa"/>
            <w:noWrap w:val="0"/>
            <w:vAlign w:val="center"/>
          </w:tcPr>
          <w:p>
            <w:pPr>
              <w:pStyle w:val="37"/>
            </w:pPr>
            <w:r>
              <w:t>50.5 dBi</w:t>
            </w:r>
          </w:p>
        </w:tc>
        <w:tc>
          <w:tcPr>
            <w:tcW w:w="1877" w:type="dxa"/>
            <w:noWrap w:val="0"/>
            <w:vAlign w:val="center"/>
          </w:tcPr>
          <w:p>
            <w:pPr>
              <w:pStyle w:val="37"/>
            </w:pPr>
            <w:r>
              <w:t>30.5 dBi</w:t>
            </w:r>
          </w:p>
        </w:tc>
        <w:tc>
          <w:tcPr>
            <w:tcW w:w="1877" w:type="dxa"/>
            <w:noWrap w:val="0"/>
            <w:vAlign w:val="center"/>
          </w:tcPr>
          <w:p>
            <w:pPr>
              <w:pStyle w:val="37"/>
            </w:pPr>
            <w:r>
              <w:t>30.5 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57" w:type="dxa"/>
            <w:gridSpan w:val="5"/>
            <w:noWrap w:val="0"/>
            <w:vAlign w:val="center"/>
          </w:tcPr>
          <w:p>
            <w:pPr>
              <w:pStyle w:val="49"/>
            </w:pPr>
            <w:r>
              <w:t>NOTE 1:</w:t>
            </w:r>
            <w:r>
              <w:tab/>
            </w:r>
            <w:r>
              <w:t>This value is equivalent to the antenna diameter in Sec. 6.4.1 of [2].</w:t>
            </w:r>
          </w:p>
          <w:p>
            <w:pPr>
              <w:pStyle w:val="49"/>
            </w:pPr>
            <w:r>
              <w:t>NOTE 2:</w:t>
            </w:r>
            <w:r>
              <w:tab/>
            </w:r>
            <w:r>
              <w:t xml:space="preserve">This beam size refers to the Nadir pointing of the satellite </w:t>
            </w:r>
          </w:p>
          <w:p>
            <w:pPr>
              <w:pStyle w:val="49"/>
            </w:pPr>
            <w:r>
              <w:t>NOTE 3:</w:t>
            </w:r>
            <w:r>
              <w:tab/>
            </w:r>
            <w:r>
              <w:t>All these satellite parameters are applied per beam.</w:t>
            </w:r>
          </w:p>
          <w:p>
            <w:pPr>
              <w:pStyle w:val="49"/>
            </w:pPr>
            <w:r>
              <w:t>NOTE 4:</w:t>
            </w:r>
            <w:r>
              <w:tab/>
            </w:r>
            <w:r>
              <w:t>The EIRP density values are considered identical for all frequency re-use factor options.</w:t>
            </w:r>
          </w:p>
        </w:tc>
      </w:tr>
    </w:tbl>
    <w:p>
      <w:pPr>
        <w:pStyle w:val="4"/>
        <w:keepNext/>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2"/>
        <w:rPr>
          <w:rFonts w:cs="Arial"/>
          <w:b w:val="0"/>
          <w:bCs w:val="0"/>
        </w:rPr>
      </w:pPr>
      <w:bookmarkStart w:id="14" w:name="_Toc104122349"/>
      <w:bookmarkStart w:id="15" w:name="_Toc104210155"/>
      <w:bookmarkStart w:id="16" w:name="_Toc94170345"/>
      <w:bookmarkStart w:id="17" w:name="_Toc104502867"/>
      <w:r>
        <w:rPr>
          <w:rFonts w:cs="Arial"/>
          <w:b w:val="0"/>
          <w:bCs w:val="0"/>
        </w:rPr>
        <w:t>2.2.2</w:t>
      </w:r>
      <w:r>
        <w:rPr>
          <w:rFonts w:cs="Arial"/>
          <w:b w:val="0"/>
          <w:bCs w:val="0"/>
        </w:rPr>
        <w:tab/>
      </w:r>
      <w:r>
        <w:rPr>
          <w:rFonts w:hint="eastAsia" w:cs="Arial"/>
          <w:b w:val="0"/>
          <w:bCs w:val="0"/>
          <w:lang w:val="en-US" w:eastAsia="zh-CN"/>
        </w:rPr>
        <w:t>NTN</w:t>
      </w:r>
      <w:r>
        <w:rPr>
          <w:rFonts w:cs="Arial"/>
          <w:b w:val="0"/>
          <w:bCs w:val="0"/>
        </w:rPr>
        <w:t xml:space="preserve"> UE parameters</w:t>
      </w:r>
      <w:bookmarkEnd w:id="13"/>
      <w:bookmarkEnd w:id="14"/>
      <w:bookmarkEnd w:id="15"/>
      <w:bookmarkEnd w:id="16"/>
      <w:bookmarkEnd w:id="17"/>
    </w:p>
    <w:p>
      <w:pPr>
        <w:spacing w:after="120"/>
        <w:rPr>
          <w:rFonts w:hint="eastAsia" w:eastAsia="宋体"/>
          <w:lang w:val="en-US" w:eastAsia="zh-CN"/>
        </w:rPr>
      </w:pPr>
      <w:r>
        <w:rPr>
          <w:rFonts w:hint="eastAsia"/>
          <w:lang w:val="en-US" w:eastAsia="zh-CN"/>
        </w:rPr>
        <w:t>NTN</w:t>
      </w:r>
      <w:r>
        <w:rPr>
          <w:rFonts w:hint="eastAsia" w:eastAsia="宋体"/>
          <w:lang w:val="en-US" w:eastAsia="zh-CN"/>
        </w:rPr>
        <w:t xml:space="preserve"> UE parameters</w:t>
      </w:r>
      <w:r>
        <w:rPr>
          <w:rFonts w:hint="eastAsia"/>
          <w:lang w:val="en-US" w:eastAsia="zh-CN"/>
        </w:rPr>
        <w:t xml:space="preserve"> in Ka band</w:t>
      </w:r>
      <w:r>
        <w:rPr>
          <w:rFonts w:hint="eastAsia" w:eastAsia="宋体"/>
          <w:lang w:val="en-US" w:eastAsia="zh-CN"/>
        </w:rPr>
        <w:t xml:space="preserve"> are given in Table 2.2.2-1</w:t>
      </w:r>
    </w:p>
    <w:p>
      <w:pPr>
        <w:pStyle w:val="46"/>
        <w:rPr>
          <w:rFonts w:hint="default"/>
          <w:b/>
          <w:bCs/>
          <w:sz w:val="20"/>
          <w:lang w:val="zh-CN" w:eastAsia="zh-CN"/>
        </w:rPr>
      </w:pPr>
      <w:r>
        <w:rPr>
          <w:rFonts w:hint="default"/>
          <w:b/>
          <w:bCs/>
          <w:sz w:val="20"/>
          <w:lang w:val="zh-CN" w:eastAsia="zh-CN"/>
        </w:rPr>
        <w:t>Table</w:t>
      </w:r>
      <w:r>
        <w:rPr>
          <w:rFonts w:hint="default"/>
          <w:b/>
          <w:bCs/>
          <w:sz w:val="20"/>
          <w:lang w:val="en-US" w:eastAsia="zh-CN"/>
        </w:rPr>
        <w:t xml:space="preserve"> </w:t>
      </w:r>
      <w:r>
        <w:rPr>
          <w:rFonts w:hint="default"/>
          <w:b/>
          <w:bCs/>
          <w:sz w:val="20"/>
          <w:lang w:val="zh-CN" w:eastAsia="zh-CN"/>
        </w:rPr>
        <w:t xml:space="preserve">2.2.2-1: </w:t>
      </w:r>
      <w:r>
        <w:rPr>
          <w:rFonts w:hint="default"/>
          <w:b/>
          <w:bCs/>
          <w:sz w:val="20"/>
          <w:lang w:val="en-US" w:eastAsia="zh-CN"/>
        </w:rPr>
        <w:t xml:space="preserve">NTN </w:t>
      </w:r>
      <w:r>
        <w:rPr>
          <w:rFonts w:hint="default"/>
          <w:b/>
          <w:bCs/>
          <w:sz w:val="20"/>
          <w:lang w:val="zh-CN" w:eastAsia="zh-CN"/>
        </w:rPr>
        <w:t>UE characteristics for system level simulation</w:t>
      </w:r>
    </w:p>
    <w:tbl>
      <w:tblPr>
        <w:tblStyle w:val="2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86"/>
        <w:gridCol w:w="2489"/>
        <w:gridCol w:w="2491"/>
        <w:gridCol w:w="24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8" w:type="pct"/>
            <w:noWrap w:val="0"/>
            <w:vAlign w:val="top"/>
          </w:tcPr>
          <w:p>
            <w:pPr>
              <w:pStyle w:val="37"/>
            </w:pPr>
            <w:r>
              <w:t>Characteristics</w:t>
            </w:r>
          </w:p>
        </w:tc>
        <w:tc>
          <w:tcPr>
            <w:tcW w:w="1249" w:type="pct"/>
            <w:noWrap w:val="0"/>
            <w:vAlign w:val="top"/>
          </w:tcPr>
          <w:p>
            <w:pPr>
              <w:pStyle w:val="37"/>
            </w:pPr>
            <w:r>
              <w:t>VSAT (Note 2)</w:t>
            </w:r>
          </w:p>
        </w:tc>
        <w:tc>
          <w:tcPr>
            <w:tcW w:w="1250" w:type="pct"/>
            <w:shd w:val="clear" w:color="auto" w:fill="A4A4A4" w:themeFill="background1" w:themeFillShade="A5"/>
            <w:noWrap w:val="0"/>
            <w:vAlign w:val="top"/>
          </w:tcPr>
          <w:p>
            <w:pPr>
              <w:pStyle w:val="37"/>
              <w:rPr>
                <w:highlight w:val="none"/>
              </w:rPr>
            </w:pPr>
          </w:p>
        </w:tc>
        <w:tc>
          <w:tcPr>
            <w:tcW w:w="1251" w:type="pct"/>
            <w:noWrap w:val="0"/>
            <w:vAlign w:val="top"/>
          </w:tcPr>
          <w:p>
            <w:pPr>
              <w:pStyle w:val="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8" w:type="pct"/>
            <w:noWrap w:val="0"/>
            <w:vAlign w:val="top"/>
          </w:tcPr>
          <w:p>
            <w:pPr>
              <w:pStyle w:val="37"/>
            </w:pPr>
            <w:r>
              <w:t>Frequency band</w:t>
            </w:r>
          </w:p>
        </w:tc>
        <w:tc>
          <w:tcPr>
            <w:tcW w:w="1249" w:type="pct"/>
            <w:noWrap w:val="0"/>
            <w:vAlign w:val="top"/>
          </w:tcPr>
          <w:p>
            <w:pPr>
              <w:pStyle w:val="37"/>
            </w:pPr>
            <w:r>
              <w:t>Ka band(i.e. 30 GHz UL and 20 GHz DL)</w:t>
            </w:r>
          </w:p>
        </w:tc>
        <w:tc>
          <w:tcPr>
            <w:tcW w:w="1250" w:type="pct"/>
            <w:shd w:val="clear" w:color="auto" w:fill="A4A4A4" w:themeFill="background1" w:themeFillShade="A5"/>
            <w:noWrap w:val="0"/>
            <w:vAlign w:val="top"/>
          </w:tcPr>
          <w:p>
            <w:pPr>
              <w:pStyle w:val="37"/>
              <w:rPr>
                <w:highlight w:val="none"/>
              </w:rPr>
            </w:pPr>
          </w:p>
        </w:tc>
        <w:tc>
          <w:tcPr>
            <w:tcW w:w="1251" w:type="pct"/>
            <w:noWrap w:val="0"/>
            <w:vAlign w:val="top"/>
          </w:tcPr>
          <w:p>
            <w:pPr>
              <w:pStyle w:val="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8" w:type="pct"/>
            <w:noWrap w:val="0"/>
            <w:vAlign w:val="top"/>
          </w:tcPr>
          <w:p>
            <w:pPr>
              <w:pStyle w:val="37"/>
            </w:pPr>
            <w:r>
              <w:t>Antenna type and configuration</w:t>
            </w:r>
          </w:p>
        </w:tc>
        <w:tc>
          <w:tcPr>
            <w:tcW w:w="1249" w:type="pct"/>
            <w:noWrap w:val="0"/>
            <w:vAlign w:val="top"/>
          </w:tcPr>
          <w:p>
            <w:pPr>
              <w:pStyle w:val="37"/>
            </w:pPr>
            <w:r>
              <w:t>Directional</w:t>
            </w:r>
          </w:p>
          <w:p>
            <w:pPr>
              <w:pStyle w:val="37"/>
              <w:rPr>
                <w:rFonts w:hint="default" w:eastAsia="宋体"/>
                <w:lang w:val="en-US" w:eastAsia="zh-CN"/>
              </w:rPr>
            </w:pPr>
            <w:r>
              <w:t>Section 6.4.1 of [2] with 60 cm equivalent aperture diameter</w:t>
            </w:r>
            <w:r>
              <w:rPr>
                <w:rFonts w:hint="eastAsia" w:eastAsia="宋体"/>
                <w:lang w:val="en-US" w:eastAsia="zh-CN"/>
              </w:rPr>
              <w:t xml:space="preserve"> of TR 38.821</w:t>
            </w:r>
          </w:p>
        </w:tc>
        <w:tc>
          <w:tcPr>
            <w:tcW w:w="1250" w:type="pct"/>
            <w:shd w:val="clear" w:color="auto" w:fill="A4A4A4" w:themeFill="background1" w:themeFillShade="A5"/>
            <w:noWrap w:val="0"/>
            <w:vAlign w:val="top"/>
          </w:tcPr>
          <w:p>
            <w:pPr>
              <w:pStyle w:val="37"/>
              <w:rPr>
                <w:highlight w:val="none"/>
              </w:rPr>
            </w:pPr>
          </w:p>
        </w:tc>
        <w:tc>
          <w:tcPr>
            <w:tcW w:w="1251" w:type="pct"/>
            <w:noWrap w:val="0"/>
            <w:vAlign w:val="top"/>
          </w:tcPr>
          <w:p>
            <w:pPr>
              <w:pStyle w:val="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8" w:type="pct"/>
            <w:noWrap w:val="0"/>
            <w:vAlign w:val="top"/>
          </w:tcPr>
          <w:p>
            <w:pPr>
              <w:pStyle w:val="37"/>
            </w:pPr>
            <w:r>
              <w:t>Polarisation</w:t>
            </w:r>
          </w:p>
        </w:tc>
        <w:tc>
          <w:tcPr>
            <w:tcW w:w="1249" w:type="pct"/>
            <w:noWrap w:val="0"/>
            <w:vAlign w:val="top"/>
          </w:tcPr>
          <w:p>
            <w:pPr>
              <w:pStyle w:val="37"/>
            </w:pPr>
            <w:r>
              <w:t>circular</w:t>
            </w:r>
          </w:p>
        </w:tc>
        <w:tc>
          <w:tcPr>
            <w:tcW w:w="1250" w:type="pct"/>
            <w:shd w:val="clear" w:color="auto" w:fill="A4A4A4" w:themeFill="background1" w:themeFillShade="A5"/>
            <w:noWrap w:val="0"/>
            <w:vAlign w:val="top"/>
          </w:tcPr>
          <w:p>
            <w:pPr>
              <w:pStyle w:val="37"/>
              <w:rPr>
                <w:highlight w:val="none"/>
              </w:rPr>
            </w:pPr>
          </w:p>
        </w:tc>
        <w:tc>
          <w:tcPr>
            <w:tcW w:w="1251" w:type="pct"/>
            <w:noWrap w:val="0"/>
            <w:vAlign w:val="top"/>
          </w:tcPr>
          <w:p>
            <w:pPr>
              <w:pStyle w:val="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8" w:type="pct"/>
            <w:noWrap w:val="0"/>
            <w:vAlign w:val="top"/>
          </w:tcPr>
          <w:p>
            <w:pPr>
              <w:pStyle w:val="37"/>
            </w:pPr>
            <w:r>
              <w:t xml:space="preserve">Rx Antenna gain </w:t>
            </w:r>
          </w:p>
        </w:tc>
        <w:tc>
          <w:tcPr>
            <w:tcW w:w="1249" w:type="pct"/>
            <w:noWrap w:val="0"/>
            <w:vAlign w:val="top"/>
          </w:tcPr>
          <w:p>
            <w:pPr>
              <w:pStyle w:val="37"/>
            </w:pPr>
            <w:r>
              <w:t xml:space="preserve">39.7 dBi </w:t>
            </w:r>
          </w:p>
        </w:tc>
        <w:tc>
          <w:tcPr>
            <w:tcW w:w="1250" w:type="pct"/>
            <w:shd w:val="clear" w:color="auto" w:fill="A4A4A4" w:themeFill="background1" w:themeFillShade="A5"/>
            <w:noWrap w:val="0"/>
            <w:vAlign w:val="top"/>
          </w:tcPr>
          <w:p>
            <w:pPr>
              <w:pStyle w:val="37"/>
              <w:rPr>
                <w:highlight w:val="none"/>
              </w:rPr>
            </w:pPr>
          </w:p>
        </w:tc>
        <w:tc>
          <w:tcPr>
            <w:tcW w:w="1251" w:type="pct"/>
            <w:noWrap w:val="0"/>
            <w:vAlign w:val="top"/>
          </w:tcPr>
          <w:p>
            <w:pPr>
              <w:pStyle w:val="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8" w:type="pct"/>
            <w:noWrap w:val="0"/>
            <w:vAlign w:val="top"/>
          </w:tcPr>
          <w:p>
            <w:pPr>
              <w:pStyle w:val="37"/>
            </w:pPr>
            <w:r>
              <w:t>Antenna temperature</w:t>
            </w:r>
          </w:p>
        </w:tc>
        <w:tc>
          <w:tcPr>
            <w:tcW w:w="1249" w:type="pct"/>
            <w:noWrap w:val="0"/>
            <w:vAlign w:val="top"/>
          </w:tcPr>
          <w:p>
            <w:pPr>
              <w:pStyle w:val="37"/>
            </w:pPr>
            <w:r>
              <w:t>150 K</w:t>
            </w:r>
          </w:p>
        </w:tc>
        <w:tc>
          <w:tcPr>
            <w:tcW w:w="1250" w:type="pct"/>
            <w:shd w:val="clear" w:color="auto" w:fill="A4A4A4" w:themeFill="background1" w:themeFillShade="A5"/>
            <w:noWrap w:val="0"/>
            <w:vAlign w:val="top"/>
          </w:tcPr>
          <w:p>
            <w:pPr>
              <w:pStyle w:val="37"/>
              <w:rPr>
                <w:highlight w:val="none"/>
              </w:rPr>
            </w:pPr>
          </w:p>
        </w:tc>
        <w:tc>
          <w:tcPr>
            <w:tcW w:w="1251" w:type="pct"/>
            <w:noWrap w:val="0"/>
            <w:vAlign w:val="top"/>
          </w:tcPr>
          <w:p>
            <w:pPr>
              <w:pStyle w:val="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1248" w:type="pct"/>
            <w:noWrap w:val="0"/>
            <w:vAlign w:val="top"/>
          </w:tcPr>
          <w:p>
            <w:pPr>
              <w:pStyle w:val="37"/>
            </w:pPr>
            <w:r>
              <w:t>Noise figure</w:t>
            </w:r>
          </w:p>
        </w:tc>
        <w:tc>
          <w:tcPr>
            <w:tcW w:w="1249" w:type="pct"/>
            <w:noWrap w:val="0"/>
            <w:vAlign w:val="top"/>
          </w:tcPr>
          <w:p>
            <w:pPr>
              <w:pStyle w:val="37"/>
            </w:pPr>
            <w:r>
              <w:t>1.2 dB</w:t>
            </w:r>
          </w:p>
        </w:tc>
        <w:tc>
          <w:tcPr>
            <w:tcW w:w="1250" w:type="pct"/>
            <w:shd w:val="clear" w:color="auto" w:fill="A4A4A4" w:themeFill="background1" w:themeFillShade="A5"/>
            <w:noWrap w:val="0"/>
            <w:vAlign w:val="top"/>
          </w:tcPr>
          <w:p>
            <w:pPr>
              <w:pStyle w:val="37"/>
              <w:rPr>
                <w:highlight w:val="none"/>
              </w:rPr>
            </w:pPr>
          </w:p>
        </w:tc>
        <w:tc>
          <w:tcPr>
            <w:tcW w:w="1251" w:type="pct"/>
            <w:noWrap w:val="0"/>
            <w:vAlign w:val="top"/>
          </w:tcPr>
          <w:p>
            <w:pPr>
              <w:pStyle w:val="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8" w:type="pct"/>
            <w:noWrap w:val="0"/>
            <w:vAlign w:val="top"/>
          </w:tcPr>
          <w:p>
            <w:pPr>
              <w:pStyle w:val="37"/>
            </w:pPr>
            <w:r>
              <w:t>Tx transmit power</w:t>
            </w:r>
          </w:p>
        </w:tc>
        <w:tc>
          <w:tcPr>
            <w:tcW w:w="1249" w:type="pct"/>
            <w:noWrap w:val="0"/>
            <w:vAlign w:val="top"/>
          </w:tcPr>
          <w:p>
            <w:pPr>
              <w:pStyle w:val="37"/>
            </w:pPr>
            <w:r>
              <w:t>2 W (33 dBm)</w:t>
            </w:r>
          </w:p>
        </w:tc>
        <w:tc>
          <w:tcPr>
            <w:tcW w:w="1250" w:type="pct"/>
            <w:shd w:val="clear" w:color="auto" w:fill="A4A4A4" w:themeFill="background1" w:themeFillShade="A5"/>
            <w:noWrap w:val="0"/>
            <w:vAlign w:val="top"/>
          </w:tcPr>
          <w:p>
            <w:pPr>
              <w:pStyle w:val="37"/>
              <w:rPr>
                <w:highlight w:val="none"/>
              </w:rPr>
            </w:pPr>
          </w:p>
        </w:tc>
        <w:tc>
          <w:tcPr>
            <w:tcW w:w="1251" w:type="pct"/>
            <w:noWrap w:val="0"/>
            <w:vAlign w:val="top"/>
          </w:tcPr>
          <w:p>
            <w:pPr>
              <w:pStyle w:val="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8" w:type="pct"/>
            <w:noWrap w:val="0"/>
            <w:vAlign w:val="top"/>
          </w:tcPr>
          <w:p>
            <w:pPr>
              <w:pStyle w:val="37"/>
            </w:pPr>
            <w:r>
              <w:t>Tx antenna gain</w:t>
            </w:r>
          </w:p>
        </w:tc>
        <w:tc>
          <w:tcPr>
            <w:tcW w:w="1249" w:type="pct"/>
            <w:noWrap w:val="0"/>
            <w:vAlign w:val="top"/>
          </w:tcPr>
          <w:p>
            <w:pPr>
              <w:pStyle w:val="37"/>
            </w:pPr>
            <w:r>
              <w:t>43.2 dBi</w:t>
            </w:r>
          </w:p>
        </w:tc>
        <w:tc>
          <w:tcPr>
            <w:tcW w:w="1250" w:type="pct"/>
            <w:shd w:val="clear" w:color="auto" w:fill="A4A4A4" w:themeFill="background1" w:themeFillShade="A5"/>
            <w:noWrap w:val="0"/>
            <w:vAlign w:val="top"/>
          </w:tcPr>
          <w:p>
            <w:pPr>
              <w:pStyle w:val="37"/>
              <w:rPr>
                <w:highlight w:val="none"/>
              </w:rPr>
            </w:pPr>
          </w:p>
        </w:tc>
        <w:tc>
          <w:tcPr>
            <w:tcW w:w="1251" w:type="pct"/>
            <w:noWrap w:val="0"/>
            <w:vAlign w:val="top"/>
          </w:tcPr>
          <w:p>
            <w:pPr>
              <w:pStyle w:val="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noWrap w:val="0"/>
            <w:vAlign w:val="top"/>
          </w:tcPr>
          <w:p>
            <w:pPr>
              <w:pStyle w:val="49"/>
            </w:pPr>
            <w:r>
              <w:t>NOTE 1:</w:t>
            </w:r>
            <w:r>
              <w:tab/>
            </w:r>
            <w:r>
              <w:t>Moving platforms (e.g., aircrafts, vessels), building mounted devices. These values are provided for information.</w:t>
            </w:r>
          </w:p>
          <w:p>
            <w:pPr>
              <w:pStyle w:val="49"/>
            </w:pPr>
            <w:r>
              <w:t>NOTE 2:</w:t>
            </w:r>
            <w:r>
              <w:tab/>
            </w:r>
            <w:r>
              <w:t>VSAT terminal characteristics could be implemented with phased array antenna</w:t>
            </w:r>
          </w:p>
        </w:tc>
      </w:tr>
    </w:tbl>
    <w:p>
      <w:pPr>
        <w:pStyle w:val="42"/>
        <w:bidi w:val="0"/>
        <w:ind w:left="0" w:leftChars="0" w:firstLine="0" w:firstLineChars="0"/>
        <w:rPr>
          <w:rFonts w:hint="default"/>
          <w:lang w:val="en-US" w:eastAsia="zh-CN"/>
        </w:rPr>
      </w:pPr>
    </w:p>
    <w:p>
      <w:pPr>
        <w:pStyle w:val="4"/>
        <w:keepNext/>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2"/>
        <w:rPr>
          <w:rFonts w:cs="Arial"/>
          <w:b w:val="0"/>
          <w:bCs w:val="0"/>
        </w:rPr>
      </w:pPr>
      <w:bookmarkStart w:id="18" w:name="_Toc104502869"/>
      <w:bookmarkStart w:id="19" w:name="_Toc87889246"/>
      <w:bookmarkStart w:id="20" w:name="_Toc104210157"/>
      <w:bookmarkStart w:id="21" w:name="_Toc104122351"/>
      <w:bookmarkStart w:id="22" w:name="_Toc94170347"/>
      <w:r>
        <w:rPr>
          <w:rFonts w:cs="Arial"/>
          <w:b w:val="0"/>
          <w:bCs w:val="0"/>
        </w:rPr>
        <w:t>2.2.</w:t>
      </w:r>
      <w:r>
        <w:rPr>
          <w:rFonts w:hint="eastAsia" w:cs="Arial"/>
          <w:b w:val="0"/>
          <w:bCs w:val="0"/>
          <w:lang w:val="en-US" w:eastAsia="zh-CN"/>
        </w:rPr>
        <w:t>3</w:t>
      </w:r>
      <w:r>
        <w:rPr>
          <w:rFonts w:cs="Arial"/>
          <w:b w:val="0"/>
          <w:bCs w:val="0"/>
        </w:rPr>
        <w:tab/>
      </w:r>
      <w:r>
        <w:rPr>
          <w:rFonts w:cs="Arial"/>
          <w:b w:val="0"/>
          <w:bCs w:val="0"/>
        </w:rPr>
        <w:t>TN parameters</w:t>
      </w:r>
      <w:bookmarkEnd w:id="18"/>
      <w:bookmarkEnd w:id="19"/>
      <w:bookmarkEnd w:id="20"/>
      <w:bookmarkEnd w:id="21"/>
      <w:bookmarkEnd w:id="22"/>
    </w:p>
    <w:p>
      <w:pPr>
        <w:spacing w:after="120"/>
        <w:rPr>
          <w:rFonts w:hint="eastAsia" w:eastAsia="宋体"/>
          <w:lang w:val="en-US" w:eastAsia="zh-CN"/>
        </w:rPr>
      </w:pPr>
      <w:r>
        <w:rPr>
          <w:rFonts w:hint="eastAsia" w:eastAsia="宋体"/>
          <w:lang w:val="en-US" w:eastAsia="zh-CN"/>
        </w:rPr>
        <w:t>TN parameters for co-existence study are given in Table 2.2.</w:t>
      </w:r>
      <w:r>
        <w:rPr>
          <w:rFonts w:hint="eastAsia"/>
          <w:lang w:val="en-US" w:eastAsia="zh-CN"/>
        </w:rPr>
        <w:t>3</w:t>
      </w:r>
      <w:r>
        <w:rPr>
          <w:rFonts w:hint="eastAsia" w:eastAsia="宋体"/>
          <w:lang w:val="en-US" w:eastAsia="zh-CN"/>
        </w:rPr>
        <w:t>-1, 2.2.</w:t>
      </w:r>
      <w:r>
        <w:rPr>
          <w:rFonts w:hint="eastAsia"/>
          <w:lang w:val="en-US" w:eastAsia="zh-CN"/>
        </w:rPr>
        <w:t>3</w:t>
      </w:r>
      <w:r>
        <w:rPr>
          <w:rFonts w:hint="eastAsia" w:eastAsia="宋体"/>
          <w:lang w:val="en-US" w:eastAsia="zh-CN"/>
        </w:rPr>
        <w:t>-2 and 2.2.</w:t>
      </w:r>
      <w:r>
        <w:rPr>
          <w:rFonts w:hint="eastAsia"/>
          <w:lang w:val="en-US" w:eastAsia="zh-CN"/>
        </w:rPr>
        <w:t>3</w:t>
      </w:r>
      <w:r>
        <w:rPr>
          <w:rFonts w:hint="eastAsia" w:eastAsia="宋体"/>
          <w:lang w:val="en-US" w:eastAsia="zh-CN"/>
        </w:rPr>
        <w:t>-3.</w:t>
      </w:r>
    </w:p>
    <w:tbl>
      <w:tblPr>
        <w:tblStyle w:val="24"/>
        <w:tblW w:w="0" w:type="auto"/>
        <w:tblInd w:w="20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5"/>
        <w:gridCol w:w="2349"/>
        <w:gridCol w:w="2348"/>
        <w:gridCol w:w="23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5" w:type="dxa"/>
            <w:shd w:val="clear" w:color="auto" w:fill="auto"/>
          </w:tcPr>
          <w:p>
            <w:pPr>
              <w:pStyle w:val="36"/>
              <w:rPr>
                <w:lang w:eastAsia="ja-JP"/>
              </w:rPr>
            </w:pPr>
            <w:r>
              <w:rPr>
                <w:rFonts w:hint="eastAsia"/>
                <w:b/>
                <w:bCs/>
                <w:kern w:val="0"/>
                <w:sz w:val="20"/>
                <w:szCs w:val="20"/>
                <w:lang w:val="en-US" w:eastAsia="zh-CN"/>
              </w:rPr>
              <w:t>-</w:t>
            </w:r>
            <w:r>
              <w:rPr>
                <w:rFonts w:hint="eastAsia"/>
                <w:lang w:eastAsia="ja-JP"/>
              </w:rPr>
              <w:t>Parameters</w:t>
            </w:r>
          </w:p>
        </w:tc>
        <w:tc>
          <w:tcPr>
            <w:tcW w:w="2349" w:type="dxa"/>
            <w:shd w:val="clear" w:color="auto" w:fill="auto"/>
            <w:vAlign w:val="top"/>
          </w:tcPr>
          <w:p>
            <w:pPr>
              <w:pStyle w:val="36"/>
              <w:rPr>
                <w:rFonts w:ascii="Arial" w:hAnsi="Arial" w:eastAsia="Times New Roman" w:cs="Times New Roman"/>
                <w:b/>
                <w:kern w:val="0"/>
                <w:sz w:val="18"/>
                <w:szCs w:val="20"/>
                <w:lang w:val="en-GB" w:eastAsia="ja-JP" w:bidi="ar-SA"/>
              </w:rPr>
            </w:pPr>
            <w:r>
              <w:rPr>
                <w:rFonts w:hint="eastAsia"/>
                <w:lang w:eastAsia="ja-JP"/>
              </w:rPr>
              <w:t>Urban macro</w:t>
            </w:r>
          </w:p>
        </w:tc>
        <w:tc>
          <w:tcPr>
            <w:tcW w:w="2348" w:type="dxa"/>
            <w:shd w:val="clear" w:color="auto" w:fill="auto"/>
          </w:tcPr>
          <w:p>
            <w:pPr>
              <w:pStyle w:val="36"/>
              <w:rPr>
                <w:rFonts w:hint="default" w:eastAsia="宋体"/>
                <w:lang w:val="en-US" w:eastAsia="zh-CN"/>
              </w:rPr>
            </w:pPr>
            <w:r>
              <w:rPr>
                <w:rFonts w:hint="eastAsia" w:eastAsia="宋体"/>
                <w:lang w:val="en-US" w:eastAsia="zh-CN"/>
              </w:rPr>
              <w:t>Dense Urban</w:t>
            </w:r>
          </w:p>
        </w:tc>
        <w:tc>
          <w:tcPr>
            <w:tcW w:w="2349" w:type="dxa"/>
            <w:shd w:val="clear" w:color="auto" w:fill="auto"/>
          </w:tcPr>
          <w:p>
            <w:pPr>
              <w:pStyle w:val="36"/>
              <w:rPr>
                <w:rFonts w:hint="default" w:eastAsia="宋体"/>
                <w:lang w:val="en-US" w:eastAsia="zh-CN"/>
              </w:rPr>
            </w:pPr>
            <w:r>
              <w:rPr>
                <w:rFonts w:hint="eastAsia" w:eastAsia="宋体"/>
                <w:lang w:val="en-US" w:eastAsia="zh-CN"/>
              </w:rPr>
              <w:t>Indoor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5" w:type="dxa"/>
            <w:shd w:val="clear" w:color="auto" w:fill="auto"/>
          </w:tcPr>
          <w:p>
            <w:pPr>
              <w:pStyle w:val="38"/>
              <w:rPr>
                <w:b/>
                <w:lang w:eastAsia="ja-JP"/>
              </w:rPr>
            </w:pPr>
            <w:r>
              <w:rPr>
                <w:rFonts w:hint="eastAsia"/>
                <w:b/>
                <w:lang w:eastAsia="ja-JP"/>
              </w:rPr>
              <w:t>Channel bandwidth</w:t>
            </w:r>
          </w:p>
        </w:tc>
        <w:tc>
          <w:tcPr>
            <w:tcW w:w="2349" w:type="dxa"/>
            <w:shd w:val="clear" w:color="auto" w:fill="auto"/>
            <w:vAlign w:val="top"/>
          </w:tcPr>
          <w:p>
            <w:pPr>
              <w:pStyle w:val="38"/>
              <w:rPr>
                <w:rFonts w:hint="default" w:ascii="Arial" w:hAnsi="Arial" w:eastAsia="宋体" w:cs="Times New Roman"/>
                <w:kern w:val="0"/>
                <w:sz w:val="18"/>
                <w:szCs w:val="20"/>
                <w:lang w:val="en-US" w:eastAsia="zh-CN" w:bidi="ar-SA"/>
              </w:rPr>
            </w:pPr>
            <w:r>
              <w:rPr>
                <w:rFonts w:hint="eastAsia"/>
                <w:lang w:val="en-US" w:eastAsia="zh-CN"/>
              </w:rPr>
              <w:t>4</w:t>
            </w:r>
            <w:r>
              <w:rPr>
                <w:rFonts w:hint="eastAsia"/>
                <w:lang w:eastAsia="ja-JP"/>
              </w:rPr>
              <w:t>00MH</w:t>
            </w:r>
            <w:r>
              <w:rPr>
                <w:lang w:eastAsia="ja-JP"/>
              </w:rPr>
              <w:t>z</w:t>
            </w:r>
            <w:r>
              <w:rPr>
                <w:rFonts w:hint="eastAsia"/>
                <w:lang w:val="en-US" w:eastAsia="zh-CN"/>
              </w:rPr>
              <w:t>/200MHz</w:t>
            </w:r>
          </w:p>
        </w:tc>
        <w:tc>
          <w:tcPr>
            <w:tcW w:w="2348" w:type="dxa"/>
            <w:shd w:val="clear" w:color="auto" w:fill="auto"/>
            <w:vAlign w:val="top"/>
          </w:tcPr>
          <w:p>
            <w:pPr>
              <w:pStyle w:val="38"/>
              <w:rPr>
                <w:rFonts w:hint="default" w:ascii="Arial" w:hAnsi="Arial" w:eastAsia="宋体" w:cs="Times New Roman"/>
                <w:kern w:val="0"/>
                <w:sz w:val="18"/>
                <w:szCs w:val="20"/>
                <w:lang w:val="en-US" w:eastAsia="zh-CN" w:bidi="ar-SA"/>
              </w:rPr>
            </w:pPr>
            <w:r>
              <w:rPr>
                <w:rFonts w:hint="eastAsia"/>
                <w:lang w:val="en-US" w:eastAsia="zh-CN"/>
              </w:rPr>
              <w:t>4</w:t>
            </w:r>
            <w:r>
              <w:rPr>
                <w:rFonts w:hint="eastAsia"/>
                <w:lang w:eastAsia="ja-JP"/>
              </w:rPr>
              <w:t>00MH</w:t>
            </w:r>
            <w:r>
              <w:rPr>
                <w:lang w:eastAsia="ja-JP"/>
              </w:rPr>
              <w:t>z</w:t>
            </w:r>
            <w:r>
              <w:rPr>
                <w:rFonts w:hint="eastAsia"/>
                <w:lang w:val="en-US" w:eastAsia="zh-CN"/>
              </w:rPr>
              <w:t>/200MHz</w:t>
            </w:r>
          </w:p>
        </w:tc>
        <w:tc>
          <w:tcPr>
            <w:tcW w:w="2349" w:type="dxa"/>
            <w:shd w:val="clear" w:color="auto" w:fill="auto"/>
            <w:vAlign w:val="top"/>
          </w:tcPr>
          <w:p>
            <w:pPr>
              <w:pStyle w:val="38"/>
              <w:rPr>
                <w:rFonts w:hint="default" w:ascii="Arial" w:hAnsi="Arial" w:eastAsia="宋体" w:cs="Times New Roman"/>
                <w:kern w:val="0"/>
                <w:sz w:val="18"/>
                <w:szCs w:val="20"/>
                <w:lang w:val="en-US" w:eastAsia="zh-CN" w:bidi="ar-SA"/>
              </w:rPr>
            </w:pPr>
            <w:r>
              <w:rPr>
                <w:rFonts w:hint="eastAsia" w:cs="Times New Roman"/>
                <w:kern w:val="0"/>
                <w:sz w:val="18"/>
                <w:szCs w:val="20"/>
                <w:lang w:val="en-US" w:eastAsia="zh-CN" w:bidi="ar-SA"/>
              </w:rPr>
              <w:t xml:space="preserv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5" w:type="dxa"/>
            <w:shd w:val="clear" w:color="auto" w:fill="auto"/>
          </w:tcPr>
          <w:p>
            <w:pPr>
              <w:pStyle w:val="38"/>
              <w:rPr>
                <w:b/>
                <w:lang w:eastAsia="ja-JP"/>
              </w:rPr>
            </w:pPr>
            <w:r>
              <w:rPr>
                <w:rFonts w:hint="eastAsia"/>
                <w:b/>
                <w:lang w:eastAsia="ja-JP"/>
              </w:rPr>
              <w:t>Scheduled channel bandwidth per UE (DL)</w:t>
            </w:r>
          </w:p>
        </w:tc>
        <w:tc>
          <w:tcPr>
            <w:tcW w:w="2349" w:type="dxa"/>
            <w:shd w:val="clear" w:color="auto" w:fill="auto"/>
            <w:vAlign w:val="top"/>
          </w:tcPr>
          <w:p>
            <w:pPr>
              <w:pStyle w:val="38"/>
              <w:rPr>
                <w:rFonts w:ascii="Arial" w:hAnsi="Arial" w:eastAsia="宋体" w:cs="Times New Roman"/>
                <w:kern w:val="0"/>
                <w:sz w:val="18"/>
                <w:szCs w:val="20"/>
                <w:lang w:val="en-GB" w:eastAsia="ja-JP" w:bidi="ar-SA"/>
              </w:rPr>
            </w:pPr>
            <w:r>
              <w:rPr>
                <w:rFonts w:hint="eastAsia"/>
                <w:lang w:val="en-US" w:eastAsia="zh-CN"/>
              </w:rPr>
              <w:t>4</w:t>
            </w:r>
            <w:r>
              <w:rPr>
                <w:rFonts w:hint="eastAsia"/>
                <w:lang w:eastAsia="ja-JP"/>
              </w:rPr>
              <w:t>00MH</w:t>
            </w:r>
            <w:r>
              <w:rPr>
                <w:lang w:eastAsia="ja-JP"/>
              </w:rPr>
              <w:t>z</w:t>
            </w:r>
          </w:p>
        </w:tc>
        <w:tc>
          <w:tcPr>
            <w:tcW w:w="2348" w:type="dxa"/>
            <w:shd w:val="clear" w:color="auto" w:fill="auto"/>
            <w:vAlign w:val="top"/>
          </w:tcPr>
          <w:p>
            <w:pPr>
              <w:pStyle w:val="38"/>
              <w:rPr>
                <w:rFonts w:ascii="Arial" w:hAnsi="Arial" w:eastAsia="宋体" w:cs="Times New Roman"/>
                <w:kern w:val="0"/>
                <w:sz w:val="18"/>
                <w:szCs w:val="20"/>
                <w:lang w:val="en-GB" w:eastAsia="ja-JP" w:bidi="ar-SA"/>
              </w:rPr>
            </w:pPr>
            <w:r>
              <w:rPr>
                <w:rFonts w:hint="eastAsia"/>
                <w:lang w:val="en-US" w:eastAsia="zh-CN"/>
              </w:rPr>
              <w:t>4</w:t>
            </w:r>
            <w:r>
              <w:rPr>
                <w:rFonts w:hint="eastAsia"/>
                <w:lang w:eastAsia="ja-JP"/>
              </w:rPr>
              <w:t>00MH</w:t>
            </w:r>
            <w:r>
              <w:rPr>
                <w:lang w:eastAsia="ja-JP"/>
              </w:rPr>
              <w:t>z</w:t>
            </w:r>
            <w:r>
              <w:rPr>
                <w:rFonts w:hint="eastAsia"/>
                <w:lang w:val="en-US" w:eastAsia="zh-CN"/>
              </w:rPr>
              <w:t>/200MHz</w:t>
            </w:r>
          </w:p>
        </w:tc>
        <w:tc>
          <w:tcPr>
            <w:tcW w:w="2349" w:type="dxa"/>
            <w:shd w:val="clear" w:color="auto" w:fill="auto"/>
            <w:vAlign w:val="top"/>
          </w:tcPr>
          <w:p>
            <w:pPr>
              <w:pStyle w:val="38"/>
              <w:rPr>
                <w:rFonts w:ascii="Arial" w:hAnsi="Arial" w:eastAsia="宋体" w:cs="Times New Roman"/>
                <w:kern w:val="0"/>
                <w:sz w:val="18"/>
                <w:szCs w:val="20"/>
                <w:lang w:val="en-GB" w:eastAsia="ja-JP" w:bidi="ar-SA"/>
              </w:rPr>
            </w:pPr>
            <w:r>
              <w:rPr>
                <w:rFonts w:hint="eastAsia" w:cs="Times New Roman"/>
                <w:kern w:val="0"/>
                <w:sz w:val="18"/>
                <w:szCs w:val="20"/>
                <w:lang w:val="en-US" w:eastAsia="zh-CN" w:bidi="ar-SA"/>
              </w:rPr>
              <w:t xml:space="preserv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5" w:type="dxa"/>
            <w:shd w:val="clear" w:color="auto" w:fill="auto"/>
          </w:tcPr>
          <w:p>
            <w:pPr>
              <w:pStyle w:val="38"/>
              <w:rPr>
                <w:b/>
                <w:lang w:eastAsia="ja-JP"/>
              </w:rPr>
            </w:pPr>
            <w:r>
              <w:rPr>
                <w:rFonts w:hint="eastAsia"/>
                <w:b/>
                <w:lang w:eastAsia="ja-JP"/>
              </w:rPr>
              <w:t>Scheduled channel bandwidth per UE (UL)</w:t>
            </w:r>
          </w:p>
        </w:tc>
        <w:tc>
          <w:tcPr>
            <w:tcW w:w="2349" w:type="dxa"/>
            <w:shd w:val="clear" w:color="auto" w:fill="auto"/>
            <w:vAlign w:val="top"/>
          </w:tcPr>
          <w:p>
            <w:pPr>
              <w:pStyle w:val="38"/>
              <w:rPr>
                <w:rFonts w:ascii="Arial" w:hAnsi="Arial" w:eastAsia="宋体" w:cs="Times New Roman"/>
                <w:kern w:val="0"/>
                <w:sz w:val="18"/>
                <w:szCs w:val="20"/>
                <w:lang w:val="en-GB" w:eastAsia="ja-JP" w:bidi="ar-SA"/>
              </w:rPr>
            </w:pPr>
            <w:r>
              <w:rPr>
                <w:rFonts w:hint="eastAsia"/>
                <w:lang w:val="en-US" w:eastAsia="zh-CN"/>
              </w:rPr>
              <w:t>4</w:t>
            </w:r>
            <w:r>
              <w:rPr>
                <w:rFonts w:hint="eastAsia"/>
                <w:lang w:eastAsia="ja-JP"/>
              </w:rPr>
              <w:t>00MH</w:t>
            </w:r>
            <w:r>
              <w:rPr>
                <w:lang w:eastAsia="ja-JP"/>
              </w:rPr>
              <w:t>z</w:t>
            </w:r>
            <w:r>
              <w:rPr>
                <w:rFonts w:hint="eastAsia"/>
                <w:lang w:val="en-US" w:eastAsia="zh-CN"/>
              </w:rPr>
              <w:t>/200MHz</w:t>
            </w:r>
          </w:p>
        </w:tc>
        <w:tc>
          <w:tcPr>
            <w:tcW w:w="2348" w:type="dxa"/>
            <w:shd w:val="clear" w:color="auto" w:fill="auto"/>
            <w:vAlign w:val="top"/>
          </w:tcPr>
          <w:p>
            <w:pPr>
              <w:pStyle w:val="38"/>
              <w:rPr>
                <w:rFonts w:ascii="Arial" w:hAnsi="Arial" w:eastAsia="宋体" w:cs="Times New Roman"/>
                <w:kern w:val="0"/>
                <w:sz w:val="18"/>
                <w:szCs w:val="20"/>
                <w:lang w:val="en-GB" w:eastAsia="ja-JP" w:bidi="ar-SA"/>
              </w:rPr>
            </w:pPr>
            <w:r>
              <w:rPr>
                <w:rFonts w:hint="eastAsia"/>
                <w:lang w:val="en-US" w:eastAsia="zh-CN"/>
              </w:rPr>
              <w:t>4</w:t>
            </w:r>
            <w:r>
              <w:rPr>
                <w:rFonts w:hint="eastAsia"/>
                <w:lang w:eastAsia="ja-JP"/>
              </w:rPr>
              <w:t>00MH</w:t>
            </w:r>
            <w:r>
              <w:rPr>
                <w:lang w:eastAsia="ja-JP"/>
              </w:rPr>
              <w:t>z</w:t>
            </w:r>
            <w:r>
              <w:rPr>
                <w:rFonts w:hint="eastAsia"/>
                <w:lang w:val="en-US" w:eastAsia="zh-CN"/>
              </w:rPr>
              <w:t>/200MHz</w:t>
            </w:r>
          </w:p>
        </w:tc>
        <w:tc>
          <w:tcPr>
            <w:tcW w:w="2349" w:type="dxa"/>
            <w:shd w:val="clear" w:color="auto" w:fill="auto"/>
            <w:vAlign w:val="top"/>
          </w:tcPr>
          <w:p>
            <w:pPr>
              <w:pStyle w:val="38"/>
              <w:rPr>
                <w:rFonts w:ascii="Arial" w:hAnsi="Arial" w:eastAsia="宋体" w:cs="Times New Roman"/>
                <w:kern w:val="0"/>
                <w:sz w:val="18"/>
                <w:szCs w:val="20"/>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5" w:type="dxa"/>
            <w:shd w:val="clear" w:color="auto" w:fill="auto"/>
          </w:tcPr>
          <w:p>
            <w:pPr>
              <w:pStyle w:val="38"/>
              <w:rPr>
                <w:b/>
                <w:lang w:eastAsia="ja-JP"/>
              </w:rPr>
            </w:pPr>
            <w:r>
              <w:rPr>
                <w:b/>
                <w:lang w:eastAsia="ja-JP"/>
              </w:rPr>
              <w:t>T</w:t>
            </w:r>
            <w:r>
              <w:rPr>
                <w:rFonts w:hint="eastAsia"/>
                <w:b/>
                <w:lang w:eastAsia="ja-JP"/>
              </w:rPr>
              <w:t>he number of active UE (DL)</w:t>
            </w:r>
          </w:p>
        </w:tc>
        <w:tc>
          <w:tcPr>
            <w:tcW w:w="2349" w:type="dxa"/>
            <w:shd w:val="clear" w:color="auto" w:fill="auto"/>
            <w:vAlign w:val="top"/>
          </w:tcPr>
          <w:p>
            <w:pPr>
              <w:pStyle w:val="38"/>
              <w:rPr>
                <w:rFonts w:ascii="Arial" w:hAnsi="Arial" w:eastAsia="宋体" w:cs="Times New Roman"/>
                <w:kern w:val="0"/>
                <w:sz w:val="18"/>
                <w:szCs w:val="20"/>
                <w:lang w:val="en-GB" w:eastAsia="ja-JP" w:bidi="ar-SA"/>
              </w:rPr>
            </w:pPr>
            <w:r>
              <w:rPr>
                <w:lang w:eastAsia="ja-JP"/>
              </w:rPr>
              <w:t>S</w:t>
            </w:r>
            <w:r>
              <w:rPr>
                <w:rFonts w:hint="eastAsia"/>
                <w:lang w:eastAsia="ja-JP"/>
              </w:rPr>
              <w:t>ame as the number of BS beam</w:t>
            </w:r>
          </w:p>
        </w:tc>
        <w:tc>
          <w:tcPr>
            <w:tcW w:w="2348" w:type="dxa"/>
            <w:shd w:val="clear" w:color="auto" w:fill="auto"/>
            <w:vAlign w:val="top"/>
          </w:tcPr>
          <w:p>
            <w:pPr>
              <w:pStyle w:val="38"/>
              <w:rPr>
                <w:rFonts w:ascii="Arial" w:hAnsi="Arial" w:eastAsia="宋体" w:cs="Times New Roman"/>
                <w:kern w:val="0"/>
                <w:sz w:val="18"/>
                <w:szCs w:val="20"/>
                <w:lang w:val="en-GB" w:eastAsia="ja-JP" w:bidi="ar-SA"/>
              </w:rPr>
            </w:pPr>
            <w:r>
              <w:rPr>
                <w:lang w:eastAsia="ja-JP"/>
              </w:rPr>
              <w:t>S</w:t>
            </w:r>
            <w:r>
              <w:rPr>
                <w:rFonts w:hint="eastAsia"/>
                <w:lang w:eastAsia="ja-JP"/>
              </w:rPr>
              <w:t>ame as the number of BS beam</w:t>
            </w:r>
          </w:p>
        </w:tc>
        <w:tc>
          <w:tcPr>
            <w:tcW w:w="2349" w:type="dxa"/>
            <w:shd w:val="clear" w:color="auto" w:fill="auto"/>
            <w:vAlign w:val="top"/>
          </w:tcPr>
          <w:p>
            <w:pPr>
              <w:pStyle w:val="38"/>
              <w:rPr>
                <w:rFonts w:ascii="Arial" w:hAnsi="Arial" w:eastAsia="宋体" w:cs="Times New Roman"/>
                <w:kern w:val="0"/>
                <w:sz w:val="18"/>
                <w:szCs w:val="20"/>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5" w:type="dxa"/>
            <w:shd w:val="clear" w:color="auto" w:fill="auto"/>
          </w:tcPr>
          <w:p>
            <w:pPr>
              <w:pStyle w:val="38"/>
              <w:rPr>
                <w:rFonts w:eastAsia="宋体"/>
                <w:b/>
                <w:lang w:eastAsia="ja-JP"/>
              </w:rPr>
            </w:pPr>
            <w:r>
              <w:rPr>
                <w:b/>
                <w:lang w:eastAsia="ja-JP"/>
              </w:rPr>
              <w:t>T</w:t>
            </w:r>
            <w:r>
              <w:rPr>
                <w:rFonts w:hint="eastAsia"/>
                <w:b/>
                <w:lang w:eastAsia="ja-JP"/>
              </w:rPr>
              <w:t>he number of active UE (UL)</w:t>
            </w:r>
          </w:p>
        </w:tc>
        <w:tc>
          <w:tcPr>
            <w:tcW w:w="2349" w:type="dxa"/>
            <w:shd w:val="clear" w:color="auto" w:fill="auto"/>
            <w:vAlign w:val="top"/>
          </w:tcPr>
          <w:p>
            <w:pPr>
              <w:pStyle w:val="38"/>
              <w:rPr>
                <w:rFonts w:ascii="Arial" w:hAnsi="Arial" w:eastAsia="宋体" w:cs="Times New Roman"/>
                <w:kern w:val="0"/>
                <w:sz w:val="18"/>
                <w:szCs w:val="20"/>
                <w:lang w:val="en-GB" w:eastAsia="ja-JP" w:bidi="ar-SA"/>
              </w:rPr>
            </w:pPr>
            <w:r>
              <w:rPr>
                <w:lang w:eastAsia="ja-JP"/>
              </w:rPr>
              <w:t>S</w:t>
            </w:r>
            <w:r>
              <w:rPr>
                <w:rFonts w:hint="eastAsia"/>
                <w:lang w:eastAsia="ja-JP"/>
              </w:rPr>
              <w:t>ame as the number of BS beam</w:t>
            </w:r>
          </w:p>
        </w:tc>
        <w:tc>
          <w:tcPr>
            <w:tcW w:w="2348" w:type="dxa"/>
            <w:shd w:val="clear" w:color="auto" w:fill="auto"/>
            <w:vAlign w:val="top"/>
          </w:tcPr>
          <w:p>
            <w:pPr>
              <w:pStyle w:val="38"/>
              <w:rPr>
                <w:rFonts w:ascii="Arial" w:hAnsi="Arial" w:eastAsia="宋体" w:cs="Times New Roman"/>
                <w:kern w:val="0"/>
                <w:sz w:val="18"/>
                <w:szCs w:val="20"/>
                <w:lang w:val="en-GB" w:eastAsia="ja-JP" w:bidi="ar-SA"/>
              </w:rPr>
            </w:pPr>
            <w:r>
              <w:rPr>
                <w:lang w:eastAsia="ja-JP"/>
              </w:rPr>
              <w:t>S</w:t>
            </w:r>
            <w:r>
              <w:rPr>
                <w:rFonts w:hint="eastAsia"/>
                <w:lang w:eastAsia="ja-JP"/>
              </w:rPr>
              <w:t>ame as the number of BS beam</w:t>
            </w:r>
          </w:p>
        </w:tc>
        <w:tc>
          <w:tcPr>
            <w:tcW w:w="2349" w:type="dxa"/>
            <w:shd w:val="clear" w:color="auto" w:fill="auto"/>
            <w:vAlign w:val="top"/>
          </w:tcPr>
          <w:p>
            <w:pPr>
              <w:pStyle w:val="38"/>
              <w:rPr>
                <w:rFonts w:ascii="Arial" w:hAnsi="Arial" w:eastAsia="宋体" w:cs="Times New Roman"/>
                <w:kern w:val="0"/>
                <w:sz w:val="18"/>
                <w:szCs w:val="20"/>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5" w:type="dxa"/>
            <w:shd w:val="clear" w:color="auto" w:fill="auto"/>
          </w:tcPr>
          <w:p>
            <w:pPr>
              <w:pStyle w:val="38"/>
              <w:rPr>
                <w:rFonts w:eastAsia="宋体"/>
                <w:b/>
                <w:lang w:eastAsia="ja-JP"/>
              </w:rPr>
            </w:pPr>
            <w:r>
              <w:rPr>
                <w:rFonts w:hint="eastAsia" w:eastAsia="宋体"/>
                <w:b/>
                <w:lang w:eastAsia="ja-JP"/>
              </w:rPr>
              <w:t>Traffic model</w:t>
            </w:r>
          </w:p>
        </w:tc>
        <w:tc>
          <w:tcPr>
            <w:tcW w:w="2349" w:type="dxa"/>
            <w:shd w:val="clear" w:color="auto" w:fill="auto"/>
            <w:vAlign w:val="top"/>
          </w:tcPr>
          <w:p>
            <w:pPr>
              <w:pStyle w:val="38"/>
              <w:rPr>
                <w:rFonts w:ascii="Arial" w:hAnsi="Arial" w:eastAsia="宋体" w:cs="Times New Roman"/>
                <w:kern w:val="0"/>
                <w:sz w:val="18"/>
                <w:szCs w:val="20"/>
                <w:lang w:val="en-GB" w:eastAsia="ja-JP" w:bidi="ar-SA"/>
              </w:rPr>
            </w:pPr>
            <w:r>
              <w:rPr>
                <w:lang w:eastAsia="ja-JP"/>
              </w:rPr>
              <w:t>F</w:t>
            </w:r>
            <w:r>
              <w:rPr>
                <w:rFonts w:hint="eastAsia"/>
                <w:lang w:eastAsia="ja-JP"/>
              </w:rPr>
              <w:t>ull buffer</w:t>
            </w:r>
          </w:p>
        </w:tc>
        <w:tc>
          <w:tcPr>
            <w:tcW w:w="2348" w:type="dxa"/>
            <w:shd w:val="clear" w:color="auto" w:fill="auto"/>
            <w:vAlign w:val="top"/>
          </w:tcPr>
          <w:p>
            <w:pPr>
              <w:pStyle w:val="38"/>
              <w:rPr>
                <w:rFonts w:ascii="Arial" w:hAnsi="Arial" w:eastAsia="宋体" w:cs="Times New Roman"/>
                <w:kern w:val="0"/>
                <w:sz w:val="18"/>
                <w:szCs w:val="20"/>
                <w:lang w:val="en-GB" w:eastAsia="ja-JP" w:bidi="ar-SA"/>
              </w:rPr>
            </w:pPr>
            <w:r>
              <w:rPr>
                <w:lang w:eastAsia="ja-JP"/>
              </w:rPr>
              <w:t>F</w:t>
            </w:r>
            <w:r>
              <w:rPr>
                <w:rFonts w:hint="eastAsia"/>
                <w:lang w:eastAsia="ja-JP"/>
              </w:rPr>
              <w:t>ull buffer</w:t>
            </w:r>
          </w:p>
        </w:tc>
        <w:tc>
          <w:tcPr>
            <w:tcW w:w="2349" w:type="dxa"/>
            <w:shd w:val="clear" w:color="auto" w:fill="auto"/>
            <w:vAlign w:val="top"/>
          </w:tcPr>
          <w:p>
            <w:pPr>
              <w:pStyle w:val="38"/>
              <w:rPr>
                <w:rFonts w:ascii="Arial" w:hAnsi="Arial" w:eastAsia="宋体" w:cs="Times New Roman"/>
                <w:kern w:val="0"/>
                <w:sz w:val="18"/>
                <w:szCs w:val="20"/>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5" w:type="dxa"/>
            <w:shd w:val="clear" w:color="auto" w:fill="auto"/>
          </w:tcPr>
          <w:p>
            <w:pPr>
              <w:pStyle w:val="38"/>
              <w:rPr>
                <w:b/>
                <w:lang w:eastAsia="ja-JP"/>
              </w:rPr>
            </w:pPr>
            <w:r>
              <w:rPr>
                <w:rFonts w:hint="eastAsia"/>
                <w:b/>
                <w:lang w:eastAsia="ja-JP"/>
              </w:rPr>
              <w:t>DL power control</w:t>
            </w:r>
          </w:p>
        </w:tc>
        <w:tc>
          <w:tcPr>
            <w:tcW w:w="2349" w:type="dxa"/>
            <w:shd w:val="clear" w:color="auto" w:fill="auto"/>
            <w:vAlign w:val="top"/>
          </w:tcPr>
          <w:p>
            <w:pPr>
              <w:pStyle w:val="38"/>
              <w:rPr>
                <w:rFonts w:ascii="Arial" w:hAnsi="Arial" w:eastAsia="宋体" w:cs="Times New Roman"/>
                <w:kern w:val="0"/>
                <w:sz w:val="18"/>
                <w:szCs w:val="20"/>
                <w:lang w:val="en-GB" w:eastAsia="ja-JP" w:bidi="ar-SA"/>
              </w:rPr>
            </w:pPr>
            <w:r>
              <w:rPr>
                <w:rFonts w:hint="eastAsia"/>
                <w:lang w:eastAsia="ja-JP"/>
              </w:rPr>
              <w:t>NO</w:t>
            </w:r>
          </w:p>
        </w:tc>
        <w:tc>
          <w:tcPr>
            <w:tcW w:w="2348" w:type="dxa"/>
            <w:shd w:val="clear" w:color="auto" w:fill="auto"/>
            <w:vAlign w:val="top"/>
          </w:tcPr>
          <w:p>
            <w:pPr>
              <w:pStyle w:val="38"/>
              <w:rPr>
                <w:rFonts w:ascii="Arial" w:hAnsi="Arial" w:eastAsia="宋体" w:cs="Times New Roman"/>
                <w:kern w:val="0"/>
                <w:sz w:val="18"/>
                <w:szCs w:val="20"/>
                <w:lang w:val="en-GB" w:eastAsia="ja-JP" w:bidi="ar-SA"/>
              </w:rPr>
            </w:pPr>
            <w:r>
              <w:rPr>
                <w:rFonts w:hint="eastAsia"/>
                <w:lang w:eastAsia="ja-JP"/>
              </w:rPr>
              <w:t>NO</w:t>
            </w:r>
          </w:p>
        </w:tc>
        <w:tc>
          <w:tcPr>
            <w:tcW w:w="2349" w:type="dxa"/>
            <w:shd w:val="clear" w:color="auto" w:fill="auto"/>
            <w:vAlign w:val="top"/>
          </w:tcPr>
          <w:p>
            <w:pPr>
              <w:pStyle w:val="38"/>
              <w:rPr>
                <w:rFonts w:ascii="Arial" w:hAnsi="Arial" w:eastAsia="宋体" w:cs="Times New Roman"/>
                <w:kern w:val="0"/>
                <w:sz w:val="18"/>
                <w:szCs w:val="20"/>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5" w:type="dxa"/>
            <w:shd w:val="clear" w:color="auto" w:fill="auto"/>
          </w:tcPr>
          <w:p>
            <w:pPr>
              <w:pStyle w:val="38"/>
              <w:rPr>
                <w:b/>
                <w:lang w:eastAsia="ja-JP"/>
              </w:rPr>
            </w:pPr>
            <w:r>
              <w:rPr>
                <w:rFonts w:hint="eastAsia" w:eastAsia="宋体"/>
                <w:b/>
                <w:lang w:eastAsia="ja-JP"/>
              </w:rPr>
              <w:t>UL power control</w:t>
            </w:r>
          </w:p>
        </w:tc>
        <w:tc>
          <w:tcPr>
            <w:tcW w:w="2349" w:type="dxa"/>
            <w:shd w:val="clear" w:color="auto" w:fill="auto"/>
            <w:vAlign w:val="top"/>
          </w:tcPr>
          <w:p>
            <w:pPr>
              <w:pStyle w:val="38"/>
              <w:rPr>
                <w:rFonts w:ascii="Arial" w:hAnsi="Arial" w:eastAsia="宋体" w:cs="Times New Roman"/>
                <w:kern w:val="0"/>
                <w:sz w:val="18"/>
                <w:szCs w:val="20"/>
                <w:lang w:val="en-GB" w:eastAsia="ja-JP" w:bidi="ar-SA"/>
              </w:rPr>
            </w:pPr>
            <w:r>
              <w:rPr>
                <w:rFonts w:hint="eastAsia"/>
                <w:lang w:eastAsia="ja-JP"/>
              </w:rPr>
              <w:t>YES</w:t>
            </w:r>
          </w:p>
        </w:tc>
        <w:tc>
          <w:tcPr>
            <w:tcW w:w="2348" w:type="dxa"/>
            <w:shd w:val="clear" w:color="auto" w:fill="auto"/>
            <w:vAlign w:val="top"/>
          </w:tcPr>
          <w:p>
            <w:pPr>
              <w:pStyle w:val="38"/>
              <w:rPr>
                <w:rFonts w:ascii="Arial" w:hAnsi="Arial" w:eastAsia="宋体" w:cs="Times New Roman"/>
                <w:kern w:val="0"/>
                <w:sz w:val="18"/>
                <w:szCs w:val="20"/>
                <w:lang w:val="en-GB" w:eastAsia="ja-JP" w:bidi="ar-SA"/>
              </w:rPr>
            </w:pPr>
            <w:r>
              <w:rPr>
                <w:rFonts w:hint="eastAsia"/>
                <w:lang w:eastAsia="ja-JP"/>
              </w:rPr>
              <w:t>YES</w:t>
            </w:r>
          </w:p>
        </w:tc>
        <w:tc>
          <w:tcPr>
            <w:tcW w:w="2349" w:type="dxa"/>
            <w:shd w:val="clear" w:color="auto" w:fill="auto"/>
            <w:vAlign w:val="top"/>
          </w:tcPr>
          <w:p>
            <w:pPr>
              <w:pStyle w:val="38"/>
              <w:rPr>
                <w:rFonts w:ascii="Arial" w:hAnsi="Arial" w:eastAsia="宋体" w:cs="Times New Roman"/>
                <w:kern w:val="0"/>
                <w:sz w:val="18"/>
                <w:szCs w:val="20"/>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5" w:type="dxa"/>
            <w:shd w:val="clear" w:color="auto" w:fill="auto"/>
          </w:tcPr>
          <w:p>
            <w:pPr>
              <w:pStyle w:val="38"/>
              <w:rPr>
                <w:rFonts w:eastAsia="宋体"/>
                <w:b/>
                <w:lang w:eastAsia="ja-JP"/>
              </w:rPr>
            </w:pPr>
            <w:r>
              <w:rPr>
                <w:rFonts w:eastAsia="宋体"/>
                <w:b/>
                <w:lang w:eastAsia="ja-JP"/>
              </w:rPr>
              <w:t>BS max TX power in dBm</w:t>
            </w:r>
          </w:p>
        </w:tc>
        <w:tc>
          <w:tcPr>
            <w:tcW w:w="2349" w:type="dxa"/>
            <w:shd w:val="clear" w:color="auto" w:fill="auto"/>
            <w:vAlign w:val="top"/>
          </w:tcPr>
          <w:p>
            <w:pPr>
              <w:pStyle w:val="38"/>
              <w:rPr>
                <w:rFonts w:ascii="Arial" w:hAnsi="Arial" w:eastAsia="宋体" w:cs="Times New Roman"/>
                <w:kern w:val="0"/>
                <w:sz w:val="18"/>
                <w:szCs w:val="20"/>
                <w:lang w:val="en-GB" w:eastAsia="ja-JP" w:bidi="ar-SA"/>
              </w:rPr>
            </w:pPr>
            <w:r>
              <w:rPr>
                <w:rFonts w:hint="eastAsia"/>
                <w:lang w:val="en-US" w:eastAsia="zh-CN"/>
              </w:rPr>
              <w:t>30</w:t>
            </w:r>
            <w:r>
              <w:rPr>
                <w:rFonts w:hint="eastAsia"/>
                <w:lang w:eastAsia="ja-JP"/>
              </w:rPr>
              <w:t>dBm</w:t>
            </w:r>
          </w:p>
        </w:tc>
        <w:tc>
          <w:tcPr>
            <w:tcW w:w="2348" w:type="dxa"/>
            <w:shd w:val="clear" w:color="auto" w:fill="auto"/>
            <w:vAlign w:val="top"/>
          </w:tcPr>
          <w:p>
            <w:pPr>
              <w:pStyle w:val="38"/>
              <w:rPr>
                <w:rFonts w:hint="eastAsia" w:ascii="Arial" w:hAnsi="Arial" w:eastAsia="宋体" w:cs="Times New Roman"/>
                <w:kern w:val="0"/>
                <w:sz w:val="18"/>
                <w:szCs w:val="20"/>
                <w:lang w:val="en-US" w:eastAsia="zh-CN" w:bidi="ar-SA"/>
              </w:rPr>
            </w:pPr>
            <w:r>
              <w:rPr>
                <w:rFonts w:hint="eastAsia"/>
                <w:lang w:val="en-US" w:eastAsia="zh-CN"/>
              </w:rPr>
              <w:t>[30</w:t>
            </w:r>
            <w:r>
              <w:rPr>
                <w:rFonts w:hint="eastAsia"/>
                <w:lang w:eastAsia="ja-JP"/>
              </w:rPr>
              <w:t>dBm</w:t>
            </w:r>
            <w:r>
              <w:rPr>
                <w:rFonts w:hint="eastAsia"/>
                <w:lang w:val="en-US" w:eastAsia="zh-CN"/>
              </w:rPr>
              <w:t>]</w:t>
            </w:r>
          </w:p>
        </w:tc>
        <w:tc>
          <w:tcPr>
            <w:tcW w:w="2349" w:type="dxa"/>
            <w:shd w:val="clear" w:color="auto" w:fill="auto"/>
            <w:vAlign w:val="top"/>
          </w:tcPr>
          <w:p>
            <w:pPr>
              <w:pStyle w:val="38"/>
              <w:rPr>
                <w:rFonts w:ascii="Arial" w:hAnsi="Arial" w:eastAsia="宋体" w:cs="Times New Roman"/>
                <w:kern w:val="0"/>
                <w:sz w:val="18"/>
                <w:szCs w:val="20"/>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5" w:type="dxa"/>
            <w:shd w:val="clear" w:color="auto" w:fill="auto"/>
            <w:vAlign w:val="center"/>
          </w:tcPr>
          <w:p>
            <w:pPr>
              <w:pStyle w:val="38"/>
              <w:rPr>
                <w:rFonts w:eastAsia="宋体"/>
                <w:b/>
                <w:lang w:eastAsia="ja-JP"/>
              </w:rPr>
            </w:pPr>
            <w:r>
              <w:t>U</w:t>
            </w:r>
            <w:r>
              <w:rPr>
                <w:b/>
                <w:lang w:eastAsia="ja-JP"/>
              </w:rPr>
              <w:t>E Peak EIRP in dBm</w:t>
            </w:r>
          </w:p>
        </w:tc>
        <w:tc>
          <w:tcPr>
            <w:tcW w:w="2349" w:type="dxa"/>
            <w:shd w:val="clear" w:color="auto" w:fill="auto"/>
            <w:vAlign w:val="top"/>
          </w:tcPr>
          <w:p>
            <w:pPr>
              <w:pStyle w:val="38"/>
              <w:rPr>
                <w:rFonts w:hint="default" w:ascii="Arial" w:hAnsi="Arial" w:eastAsia="宋体" w:cs="Times New Roman"/>
                <w:kern w:val="0"/>
                <w:sz w:val="18"/>
                <w:szCs w:val="20"/>
                <w:lang w:val="en-US" w:eastAsia="zh-CN" w:bidi="ar-SA"/>
              </w:rPr>
            </w:pPr>
            <w:r>
              <w:rPr>
                <w:rFonts w:hint="eastAsia"/>
                <w:lang w:val="en-US" w:eastAsia="zh-CN"/>
              </w:rPr>
              <w:t>22.4dBm</w:t>
            </w:r>
          </w:p>
        </w:tc>
        <w:tc>
          <w:tcPr>
            <w:tcW w:w="2348" w:type="dxa"/>
            <w:shd w:val="clear" w:color="auto" w:fill="auto"/>
            <w:vAlign w:val="top"/>
          </w:tcPr>
          <w:p>
            <w:pPr>
              <w:pStyle w:val="38"/>
              <w:rPr>
                <w:rFonts w:ascii="Arial" w:hAnsi="Arial" w:eastAsia="宋体" w:cs="Times New Roman"/>
                <w:kern w:val="0"/>
                <w:sz w:val="18"/>
                <w:szCs w:val="20"/>
                <w:lang w:val="en-GB" w:eastAsia="ja-JP" w:bidi="ar-SA"/>
              </w:rPr>
            </w:pPr>
            <w:r>
              <w:rPr>
                <w:rFonts w:hint="eastAsia"/>
                <w:lang w:val="en-US" w:eastAsia="zh-CN"/>
              </w:rPr>
              <w:t>22.4dBm</w:t>
            </w:r>
          </w:p>
        </w:tc>
        <w:tc>
          <w:tcPr>
            <w:tcW w:w="2349" w:type="dxa"/>
            <w:shd w:val="clear" w:color="auto" w:fill="auto"/>
            <w:vAlign w:val="top"/>
          </w:tcPr>
          <w:p>
            <w:pPr>
              <w:pStyle w:val="38"/>
              <w:rPr>
                <w:rFonts w:ascii="Arial" w:hAnsi="Arial" w:eastAsia="宋体" w:cs="Times New Roman"/>
                <w:kern w:val="0"/>
                <w:sz w:val="18"/>
                <w:szCs w:val="20"/>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5" w:type="dxa"/>
            <w:shd w:val="clear" w:color="auto" w:fill="auto"/>
            <w:vAlign w:val="center"/>
          </w:tcPr>
          <w:p>
            <w:pPr>
              <w:pStyle w:val="38"/>
              <w:rPr>
                <w:rFonts w:eastAsia="宋体"/>
                <w:b/>
                <w:lang w:eastAsia="ja-JP"/>
              </w:rPr>
            </w:pPr>
            <w:r>
              <w:rPr>
                <w:rFonts w:eastAsia="宋体"/>
                <w:b/>
                <w:lang w:eastAsia="ja-JP"/>
              </w:rPr>
              <w:t xml:space="preserve">UE </w:t>
            </w:r>
            <w:r>
              <w:rPr>
                <w:rFonts w:hint="eastAsia"/>
                <w:b/>
                <w:lang w:eastAsia="ja-JP"/>
              </w:rPr>
              <w:t xml:space="preserve">min </w:t>
            </w:r>
            <w:r>
              <w:rPr>
                <w:rFonts w:eastAsia="宋体"/>
                <w:b/>
                <w:lang w:eastAsia="ja-JP"/>
              </w:rPr>
              <w:t>TX power in dBm</w:t>
            </w:r>
          </w:p>
        </w:tc>
        <w:tc>
          <w:tcPr>
            <w:tcW w:w="2349" w:type="dxa"/>
            <w:shd w:val="clear" w:color="auto" w:fill="auto"/>
            <w:vAlign w:val="top"/>
          </w:tcPr>
          <w:p>
            <w:pPr>
              <w:pStyle w:val="38"/>
              <w:rPr>
                <w:rFonts w:ascii="Arial" w:hAnsi="Arial" w:eastAsia="宋体" w:cs="Times New Roman"/>
                <w:kern w:val="0"/>
                <w:sz w:val="18"/>
                <w:szCs w:val="20"/>
                <w:lang w:val="en-GB" w:eastAsia="ja-JP" w:bidi="ar-SA"/>
              </w:rPr>
            </w:pPr>
            <w:r>
              <w:rPr>
                <w:rFonts w:hint="eastAsia" w:eastAsia="宋体"/>
              </w:rPr>
              <w:t>-40dBm</w:t>
            </w:r>
          </w:p>
        </w:tc>
        <w:tc>
          <w:tcPr>
            <w:tcW w:w="2348" w:type="dxa"/>
            <w:shd w:val="clear" w:color="auto" w:fill="auto"/>
            <w:vAlign w:val="top"/>
          </w:tcPr>
          <w:p>
            <w:pPr>
              <w:pStyle w:val="38"/>
              <w:rPr>
                <w:rFonts w:ascii="Arial" w:hAnsi="Arial" w:eastAsia="宋体" w:cs="Times New Roman"/>
                <w:kern w:val="0"/>
                <w:sz w:val="18"/>
                <w:szCs w:val="20"/>
                <w:lang w:val="en-GB" w:eastAsia="ja-JP" w:bidi="ar-SA"/>
              </w:rPr>
            </w:pPr>
            <w:r>
              <w:rPr>
                <w:rFonts w:hint="eastAsia" w:eastAsia="宋体"/>
              </w:rPr>
              <w:t>-40dBm</w:t>
            </w:r>
          </w:p>
        </w:tc>
        <w:tc>
          <w:tcPr>
            <w:tcW w:w="2349" w:type="dxa"/>
            <w:shd w:val="clear" w:color="auto" w:fill="auto"/>
            <w:vAlign w:val="top"/>
          </w:tcPr>
          <w:p>
            <w:pPr>
              <w:pStyle w:val="38"/>
              <w:rPr>
                <w:rFonts w:ascii="Arial" w:hAnsi="Arial" w:eastAsia="宋体" w:cs="Times New Roman"/>
                <w:kern w:val="0"/>
                <w:sz w:val="18"/>
                <w:szCs w:val="20"/>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5" w:type="dxa"/>
            <w:shd w:val="clear" w:color="auto" w:fill="auto"/>
            <w:vAlign w:val="center"/>
          </w:tcPr>
          <w:p>
            <w:pPr>
              <w:pStyle w:val="38"/>
              <w:rPr>
                <w:rFonts w:eastAsia="宋体"/>
                <w:b/>
                <w:lang w:eastAsia="ja-JP"/>
              </w:rPr>
            </w:pPr>
            <w:r>
              <w:rPr>
                <w:rFonts w:hint="eastAsia" w:eastAsia="宋体"/>
                <w:b/>
                <w:lang w:eastAsia="ja-JP"/>
              </w:rPr>
              <w:t>BS Noise figure in dB</w:t>
            </w:r>
          </w:p>
        </w:tc>
        <w:tc>
          <w:tcPr>
            <w:tcW w:w="2349" w:type="dxa"/>
            <w:shd w:val="clear" w:color="auto" w:fill="auto"/>
            <w:vAlign w:val="top"/>
          </w:tcPr>
          <w:p>
            <w:pPr>
              <w:pStyle w:val="38"/>
              <w:rPr>
                <w:rFonts w:ascii="Arial" w:hAnsi="Arial" w:eastAsia="宋体" w:cs="Times New Roman"/>
                <w:kern w:val="0"/>
                <w:sz w:val="18"/>
                <w:szCs w:val="20"/>
                <w:lang w:val="en-GB" w:eastAsia="ja-JP" w:bidi="ar-SA"/>
              </w:rPr>
            </w:pPr>
            <w:r>
              <w:rPr>
                <w:lang w:eastAsia="ja-JP"/>
              </w:rPr>
              <w:t>N</w:t>
            </w:r>
            <w:r>
              <w:rPr>
                <w:rFonts w:hint="eastAsia"/>
                <w:lang w:eastAsia="ja-JP"/>
              </w:rPr>
              <w:t>ote 1</w:t>
            </w:r>
          </w:p>
        </w:tc>
        <w:tc>
          <w:tcPr>
            <w:tcW w:w="2348" w:type="dxa"/>
            <w:shd w:val="clear" w:color="auto" w:fill="auto"/>
            <w:vAlign w:val="top"/>
          </w:tcPr>
          <w:p>
            <w:pPr>
              <w:pStyle w:val="38"/>
              <w:rPr>
                <w:rFonts w:ascii="Arial" w:hAnsi="Arial" w:eastAsia="宋体" w:cs="Times New Roman"/>
                <w:kern w:val="0"/>
                <w:sz w:val="18"/>
                <w:szCs w:val="20"/>
                <w:lang w:val="en-GB" w:eastAsia="ja-JP" w:bidi="ar-SA"/>
              </w:rPr>
            </w:pPr>
            <w:r>
              <w:rPr>
                <w:lang w:eastAsia="ja-JP"/>
              </w:rPr>
              <w:t>N</w:t>
            </w:r>
            <w:r>
              <w:rPr>
                <w:rFonts w:hint="eastAsia"/>
                <w:lang w:eastAsia="ja-JP"/>
              </w:rPr>
              <w:t>ote 1</w:t>
            </w:r>
          </w:p>
        </w:tc>
        <w:tc>
          <w:tcPr>
            <w:tcW w:w="2349" w:type="dxa"/>
            <w:shd w:val="clear" w:color="auto" w:fill="auto"/>
            <w:vAlign w:val="top"/>
          </w:tcPr>
          <w:p>
            <w:pPr>
              <w:pStyle w:val="38"/>
              <w:rPr>
                <w:rFonts w:ascii="Arial" w:hAnsi="Arial" w:eastAsia="宋体" w:cs="Times New Roman"/>
                <w:kern w:val="0"/>
                <w:sz w:val="18"/>
                <w:szCs w:val="20"/>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5" w:type="dxa"/>
            <w:shd w:val="clear" w:color="auto" w:fill="auto"/>
            <w:vAlign w:val="center"/>
          </w:tcPr>
          <w:p>
            <w:pPr>
              <w:pStyle w:val="38"/>
              <w:rPr>
                <w:rFonts w:eastAsia="宋体"/>
                <w:b/>
                <w:lang w:eastAsia="ja-JP"/>
              </w:rPr>
            </w:pPr>
            <w:r>
              <w:rPr>
                <w:rFonts w:hint="eastAsia" w:eastAsia="宋体"/>
                <w:b/>
                <w:lang w:eastAsia="ja-JP"/>
              </w:rPr>
              <w:t>UE Noise figure in dB</w:t>
            </w:r>
          </w:p>
        </w:tc>
        <w:tc>
          <w:tcPr>
            <w:tcW w:w="2349" w:type="dxa"/>
            <w:shd w:val="clear" w:color="auto" w:fill="auto"/>
            <w:vAlign w:val="top"/>
          </w:tcPr>
          <w:p>
            <w:pPr>
              <w:pStyle w:val="38"/>
              <w:rPr>
                <w:rFonts w:ascii="Arial" w:hAnsi="Arial" w:eastAsia="宋体" w:cs="Times New Roman"/>
                <w:kern w:val="0"/>
                <w:sz w:val="18"/>
                <w:szCs w:val="20"/>
                <w:lang w:val="en-GB" w:eastAsia="ja-JP" w:bidi="ar-SA"/>
              </w:rPr>
            </w:pPr>
            <w:r>
              <w:rPr>
                <w:lang w:eastAsia="ja-JP"/>
              </w:rPr>
              <w:t>N</w:t>
            </w:r>
            <w:r>
              <w:rPr>
                <w:rFonts w:hint="eastAsia"/>
                <w:lang w:eastAsia="ja-JP"/>
              </w:rPr>
              <w:t>ote 1</w:t>
            </w:r>
          </w:p>
        </w:tc>
        <w:tc>
          <w:tcPr>
            <w:tcW w:w="2348" w:type="dxa"/>
            <w:shd w:val="clear" w:color="auto" w:fill="auto"/>
            <w:vAlign w:val="top"/>
          </w:tcPr>
          <w:p>
            <w:pPr>
              <w:pStyle w:val="38"/>
              <w:rPr>
                <w:rFonts w:ascii="Arial" w:hAnsi="Arial" w:eastAsia="宋体" w:cs="Times New Roman"/>
                <w:kern w:val="0"/>
                <w:sz w:val="18"/>
                <w:szCs w:val="20"/>
                <w:lang w:val="en-GB" w:eastAsia="ja-JP" w:bidi="ar-SA"/>
              </w:rPr>
            </w:pPr>
            <w:r>
              <w:rPr>
                <w:lang w:eastAsia="ja-JP"/>
              </w:rPr>
              <w:t>N</w:t>
            </w:r>
            <w:r>
              <w:rPr>
                <w:rFonts w:hint="eastAsia"/>
                <w:lang w:eastAsia="ja-JP"/>
              </w:rPr>
              <w:t>ote 1</w:t>
            </w:r>
          </w:p>
        </w:tc>
        <w:tc>
          <w:tcPr>
            <w:tcW w:w="2349" w:type="dxa"/>
            <w:shd w:val="clear" w:color="auto" w:fill="auto"/>
            <w:vAlign w:val="top"/>
          </w:tcPr>
          <w:p>
            <w:pPr>
              <w:pStyle w:val="38"/>
              <w:rPr>
                <w:rFonts w:ascii="Arial" w:hAnsi="Arial" w:eastAsia="宋体" w:cs="Times New Roman"/>
                <w:kern w:val="0"/>
                <w:sz w:val="18"/>
                <w:szCs w:val="20"/>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5" w:type="dxa"/>
            <w:shd w:val="clear" w:color="auto" w:fill="auto"/>
            <w:vAlign w:val="center"/>
          </w:tcPr>
          <w:p>
            <w:pPr>
              <w:pStyle w:val="38"/>
              <w:rPr>
                <w:rFonts w:eastAsia="宋体"/>
                <w:b/>
                <w:lang w:eastAsia="ja-JP"/>
              </w:rPr>
            </w:pPr>
            <w:r>
              <w:rPr>
                <w:rFonts w:eastAsia="宋体"/>
                <w:b/>
                <w:lang w:eastAsia="ja-JP"/>
              </w:rPr>
              <w:t>H</w:t>
            </w:r>
            <w:r>
              <w:rPr>
                <w:rFonts w:hint="eastAsia" w:eastAsia="宋体"/>
                <w:b/>
                <w:lang w:eastAsia="ja-JP"/>
              </w:rPr>
              <w:t xml:space="preserve">andover </w:t>
            </w:r>
            <w:r>
              <w:rPr>
                <w:rFonts w:eastAsia="宋体"/>
                <w:b/>
                <w:lang w:eastAsia="ja-JP"/>
              </w:rPr>
              <w:t>margin</w:t>
            </w:r>
          </w:p>
        </w:tc>
        <w:tc>
          <w:tcPr>
            <w:tcW w:w="2349" w:type="dxa"/>
            <w:shd w:val="clear" w:color="auto" w:fill="auto"/>
            <w:vAlign w:val="top"/>
          </w:tcPr>
          <w:p>
            <w:pPr>
              <w:pStyle w:val="38"/>
              <w:rPr>
                <w:rFonts w:ascii="Arial" w:hAnsi="Arial" w:eastAsia="宋体" w:cs="Times New Roman"/>
                <w:kern w:val="0"/>
                <w:sz w:val="18"/>
                <w:szCs w:val="20"/>
                <w:lang w:val="en-GB" w:eastAsia="ja-JP" w:bidi="ar-SA"/>
              </w:rPr>
            </w:pPr>
            <w:r>
              <w:rPr>
                <w:rFonts w:hint="eastAsia"/>
                <w:lang w:eastAsia="ja-JP"/>
              </w:rPr>
              <w:t>3dB</w:t>
            </w:r>
          </w:p>
        </w:tc>
        <w:tc>
          <w:tcPr>
            <w:tcW w:w="2348" w:type="dxa"/>
            <w:shd w:val="clear" w:color="auto" w:fill="auto"/>
            <w:vAlign w:val="top"/>
          </w:tcPr>
          <w:p>
            <w:pPr>
              <w:pStyle w:val="38"/>
              <w:rPr>
                <w:rFonts w:ascii="Arial" w:hAnsi="Arial" w:eastAsia="宋体" w:cs="Times New Roman"/>
                <w:kern w:val="0"/>
                <w:sz w:val="18"/>
                <w:szCs w:val="20"/>
                <w:lang w:val="en-GB" w:eastAsia="ja-JP" w:bidi="ar-SA"/>
              </w:rPr>
            </w:pPr>
            <w:r>
              <w:rPr>
                <w:rFonts w:hint="eastAsia"/>
                <w:lang w:eastAsia="ja-JP"/>
              </w:rPr>
              <w:t>3dB</w:t>
            </w:r>
          </w:p>
        </w:tc>
        <w:tc>
          <w:tcPr>
            <w:tcW w:w="2349" w:type="dxa"/>
            <w:shd w:val="clear" w:color="auto" w:fill="auto"/>
            <w:vAlign w:val="top"/>
          </w:tcPr>
          <w:p>
            <w:pPr>
              <w:pStyle w:val="38"/>
              <w:rPr>
                <w:rFonts w:ascii="Arial" w:hAnsi="Arial" w:eastAsia="宋体" w:cs="Times New Roman"/>
                <w:kern w:val="0"/>
                <w:sz w:val="18"/>
                <w:szCs w:val="20"/>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 w:hRule="atLeast"/>
        </w:trPr>
        <w:tc>
          <w:tcPr>
            <w:tcW w:w="9421" w:type="dxa"/>
            <w:gridSpan w:val="4"/>
            <w:shd w:val="clear" w:color="auto" w:fill="auto"/>
            <w:vAlign w:val="center"/>
          </w:tcPr>
          <w:p>
            <w:pPr>
              <w:pStyle w:val="49"/>
              <w:rPr>
                <w:rFonts w:eastAsia="宋体"/>
                <w:lang w:val="en-US" w:eastAsia="ja-JP"/>
              </w:rPr>
            </w:pPr>
            <w:r>
              <w:rPr>
                <w:lang w:eastAsia="ja-JP"/>
              </w:rPr>
              <w:t>N</w:t>
            </w:r>
            <w:r>
              <w:rPr>
                <w:rFonts w:hint="eastAsia"/>
                <w:lang w:eastAsia="ja-JP"/>
              </w:rPr>
              <w:t>ote 1:</w:t>
            </w:r>
            <w:r>
              <w:rPr>
                <w:rFonts w:hint="eastAsia"/>
                <w:lang w:eastAsia="ja-JP"/>
              </w:rPr>
              <w:tab/>
            </w:r>
            <w:r>
              <w:rPr>
                <w:rFonts w:hint="eastAsia"/>
                <w:lang w:eastAsia="ja-JP"/>
              </w:rPr>
              <w:t xml:space="preserve">For deriving ACIR/ACS values which are included in respond to WP5D, </w:t>
            </w:r>
            <w:r>
              <w:rPr>
                <w:lang w:eastAsia="ja-JP"/>
              </w:rPr>
              <w:t xml:space="preserve">following NF are used </w:t>
            </w:r>
            <w:r>
              <w:rPr>
                <w:rFonts w:hint="eastAsia"/>
                <w:lang w:eastAsia="ja-JP"/>
              </w:rPr>
              <w:t>in co-existence simulation study</w:t>
            </w:r>
            <w:r>
              <w:rPr>
                <w:lang w:eastAsia="ja-JP"/>
              </w:rPr>
              <w:t xml:space="preserve"> for both UE and BS</w:t>
            </w:r>
            <w:r>
              <w:rPr>
                <w:rFonts w:hint="eastAsia"/>
                <w:lang w:eastAsia="ja-JP"/>
              </w:rPr>
              <w:t xml:space="preserve">. </w:t>
            </w:r>
            <w:r>
              <w:rPr>
                <w:lang w:eastAsia="ja-JP"/>
              </w:rPr>
              <w:t xml:space="preserve">30GHz: </w:t>
            </w:r>
            <w:r>
              <w:rPr>
                <w:rFonts w:hint="eastAsia"/>
                <w:lang w:eastAsia="ja-JP"/>
              </w:rPr>
              <w:t xml:space="preserve">9 and 11 </w:t>
            </w:r>
            <w:r>
              <w:rPr>
                <w:lang w:eastAsia="ja-JP"/>
              </w:rPr>
              <w:t>dB</w:t>
            </w:r>
          </w:p>
        </w:tc>
      </w:tr>
    </w:tbl>
    <w:p>
      <w:pPr>
        <w:rPr>
          <w:rFonts w:eastAsia="宋体"/>
        </w:rPr>
      </w:pPr>
    </w:p>
    <w:p>
      <w:pPr>
        <w:jc w:val="center"/>
        <w:rPr>
          <w:rFonts w:hint="eastAsia"/>
          <w:b/>
          <w:bCs/>
          <w:sz w:val="20"/>
          <w:lang w:val="zh-CN" w:eastAsia="zh-CN"/>
        </w:rPr>
      </w:pPr>
      <w:r>
        <w:rPr>
          <w:rFonts w:hint="eastAsia"/>
          <w:b/>
          <w:bCs/>
          <w:sz w:val="20"/>
          <w:lang w:val="zh-CN" w:eastAsia="zh-CN"/>
        </w:rPr>
        <w:t>Table 2.2.</w:t>
      </w:r>
      <w:r>
        <w:rPr>
          <w:rFonts w:hint="eastAsia"/>
          <w:b/>
          <w:bCs/>
          <w:sz w:val="20"/>
          <w:lang w:val="en-US" w:eastAsia="zh-CN"/>
        </w:rPr>
        <w:t>3</w:t>
      </w:r>
      <w:r>
        <w:rPr>
          <w:rFonts w:hint="eastAsia"/>
          <w:b/>
          <w:bCs/>
          <w:sz w:val="20"/>
          <w:lang w:val="zh-CN" w:eastAsia="zh-CN"/>
        </w:rPr>
        <w:t>-2: Deployment-related parameters of TN</w:t>
      </w:r>
    </w:p>
    <w:tbl>
      <w:tblPr>
        <w:tblStyle w:val="9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9"/>
        <w:gridCol w:w="2271"/>
        <w:gridCol w:w="2200"/>
        <w:gridCol w:w="36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918" w:type="pct"/>
            <w:vAlign w:val="center"/>
          </w:tcPr>
          <w:p>
            <w:pPr>
              <w:pStyle w:val="36"/>
              <w:overflowPunct w:val="0"/>
              <w:autoSpaceDE w:val="0"/>
              <w:autoSpaceDN w:val="0"/>
              <w:adjustRightInd w:val="0"/>
              <w:spacing w:after="180"/>
              <w:textAlignment w:val="baseline"/>
              <w:rPr>
                <w:rFonts w:eastAsia="Yu Mincho"/>
              </w:rPr>
            </w:pPr>
          </w:p>
        </w:tc>
        <w:tc>
          <w:tcPr>
            <w:tcW w:w="1140" w:type="pct"/>
            <w:vAlign w:val="center"/>
          </w:tcPr>
          <w:p>
            <w:pPr>
              <w:pStyle w:val="36"/>
              <w:overflowPunct w:val="0"/>
              <w:autoSpaceDE w:val="0"/>
              <w:autoSpaceDN w:val="0"/>
              <w:adjustRightInd w:val="0"/>
              <w:spacing w:after="180"/>
              <w:textAlignment w:val="baseline"/>
              <w:rPr>
                <w:rFonts w:hint="default" w:eastAsia="Yu Mincho"/>
                <w:lang w:val="en-US" w:eastAsia="zh-CN"/>
              </w:rPr>
            </w:pPr>
            <w:r>
              <w:rPr>
                <w:rFonts w:eastAsia="Yu Mincho"/>
              </w:rPr>
              <w:t>Urban Macro</w:t>
            </w:r>
            <w:r>
              <w:rPr>
                <w:rFonts w:hint="eastAsia" w:eastAsia="Yu Mincho"/>
                <w:lang w:val="en-US" w:eastAsia="zh-CN"/>
              </w:rPr>
              <w:t xml:space="preserve"> </w:t>
            </w:r>
          </w:p>
        </w:tc>
        <w:tc>
          <w:tcPr>
            <w:tcW w:w="1104" w:type="pct"/>
            <w:vAlign w:val="center"/>
          </w:tcPr>
          <w:p>
            <w:pPr>
              <w:pStyle w:val="36"/>
              <w:overflowPunct w:val="0"/>
              <w:autoSpaceDE w:val="0"/>
              <w:autoSpaceDN w:val="0"/>
              <w:adjustRightInd w:val="0"/>
              <w:spacing w:after="180"/>
              <w:textAlignment w:val="baseline"/>
              <w:rPr>
                <w:rFonts w:hint="default" w:eastAsia="宋体"/>
                <w:lang w:val="en-US" w:eastAsia="zh-CN"/>
              </w:rPr>
            </w:pPr>
            <w:r>
              <w:rPr>
                <w:rFonts w:hint="eastAsia" w:eastAsia="宋体"/>
                <w:lang w:val="en-US" w:eastAsia="zh-CN"/>
              </w:rPr>
              <w:t>Dense Urban</w:t>
            </w:r>
          </w:p>
        </w:tc>
        <w:tc>
          <w:tcPr>
            <w:tcW w:w="1838" w:type="pct"/>
            <w:vAlign w:val="center"/>
          </w:tcPr>
          <w:p>
            <w:pPr>
              <w:pStyle w:val="36"/>
              <w:overflowPunct w:val="0"/>
              <w:autoSpaceDE w:val="0"/>
              <w:autoSpaceDN w:val="0"/>
              <w:adjustRightInd w:val="0"/>
              <w:spacing w:after="180"/>
              <w:textAlignment w:val="baseline"/>
              <w:rPr>
                <w:rFonts w:eastAsia="Yu Mincho"/>
              </w:rPr>
            </w:pPr>
            <w:r>
              <w:rPr>
                <w:rFonts w:hint="eastAsia" w:eastAsia="Yu Mincho"/>
              </w:rPr>
              <w:t>R</w:t>
            </w:r>
            <w:r>
              <w:rPr>
                <w:rFonts w:eastAsia="Yu Mincho"/>
              </w:rPr>
              <w:t>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 w:type="pct"/>
            <w:vAlign w:val="center"/>
          </w:tcPr>
          <w:p>
            <w:pPr>
              <w:pStyle w:val="37"/>
              <w:overflowPunct w:val="0"/>
              <w:autoSpaceDE w:val="0"/>
              <w:autoSpaceDN w:val="0"/>
              <w:adjustRightInd w:val="0"/>
              <w:spacing w:after="180"/>
              <w:textAlignment w:val="baseline"/>
              <w:rPr>
                <w:rFonts w:eastAsia="Yu Mincho"/>
              </w:rPr>
            </w:pPr>
            <w:r>
              <w:rPr>
                <w:rFonts w:hint="eastAsia" w:eastAsia="Yu Mincho"/>
              </w:rPr>
              <w:t>I</w:t>
            </w:r>
            <w:r>
              <w:rPr>
                <w:rFonts w:eastAsia="Yu Mincho"/>
              </w:rPr>
              <w:t>SD in meters</w:t>
            </w:r>
          </w:p>
        </w:tc>
        <w:tc>
          <w:tcPr>
            <w:tcW w:w="1140" w:type="pct"/>
            <w:vAlign w:val="center"/>
          </w:tcPr>
          <w:p>
            <w:pPr>
              <w:pStyle w:val="36"/>
              <w:overflowPunct w:val="0"/>
              <w:autoSpaceDE w:val="0"/>
              <w:autoSpaceDN w:val="0"/>
              <w:adjustRightInd w:val="0"/>
              <w:spacing w:after="180"/>
              <w:textAlignment w:val="baseline"/>
              <w:rPr>
                <w:rFonts w:hint="default" w:eastAsia="Yu Mincho"/>
                <w:b w:val="0"/>
                <w:bCs/>
                <w:lang w:val="en-US" w:eastAsia="zh-CN"/>
              </w:rPr>
            </w:pPr>
            <w:r>
              <w:rPr>
                <w:rFonts w:hint="eastAsia" w:eastAsia="宋体"/>
                <w:lang w:val="en-US" w:eastAsia="zh-CN"/>
              </w:rPr>
              <w:t>200</w:t>
            </w:r>
          </w:p>
        </w:tc>
        <w:tc>
          <w:tcPr>
            <w:tcW w:w="1104" w:type="pct"/>
            <w:vAlign w:val="center"/>
          </w:tcPr>
          <w:p>
            <w:pPr>
              <w:pStyle w:val="37"/>
              <w:overflowPunct w:val="0"/>
              <w:autoSpaceDE w:val="0"/>
              <w:autoSpaceDN w:val="0"/>
              <w:adjustRightInd w:val="0"/>
              <w:spacing w:after="180"/>
              <w:textAlignment w:val="baseline"/>
              <w:rPr>
                <w:rFonts w:hint="default" w:eastAsia="宋体"/>
                <w:lang w:val="en-US" w:eastAsia="zh-CN"/>
              </w:rPr>
            </w:pPr>
            <w:r>
              <w:rPr>
                <w:rFonts w:hint="eastAsia" w:eastAsia="宋体"/>
                <w:lang w:val="en-US" w:eastAsia="zh-CN"/>
              </w:rPr>
              <w:t>200</w:t>
            </w:r>
          </w:p>
        </w:tc>
        <w:tc>
          <w:tcPr>
            <w:tcW w:w="1838" w:type="pct"/>
            <w:vMerge w:val="restart"/>
            <w:vAlign w:val="center"/>
          </w:tcPr>
          <w:p>
            <w:pPr>
              <w:pStyle w:val="38"/>
              <w:overflowPunct w:val="0"/>
              <w:autoSpaceDE w:val="0"/>
              <w:autoSpaceDN w:val="0"/>
              <w:adjustRightInd w:val="0"/>
              <w:spacing w:after="180"/>
              <w:textAlignment w:val="baseline"/>
              <w:rPr>
                <w:rFonts w:eastAsia="Yu Mincho"/>
              </w:rPr>
            </w:pPr>
            <w:r>
              <w:rPr>
                <w:rFonts w:hint="eastAsia" w:eastAsia="Yu Mincho"/>
              </w:rPr>
              <w:t>I</w:t>
            </w:r>
            <w:r>
              <w:rPr>
                <w:rFonts w:eastAsia="Yu Mincho"/>
              </w:rPr>
              <w:t>TU-R Report M.2292[11]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 w:type="pct"/>
            <w:vAlign w:val="center"/>
          </w:tcPr>
          <w:p>
            <w:pPr>
              <w:pStyle w:val="37"/>
              <w:overflowPunct w:val="0"/>
              <w:autoSpaceDE w:val="0"/>
              <w:autoSpaceDN w:val="0"/>
              <w:adjustRightInd w:val="0"/>
              <w:spacing w:after="180"/>
              <w:textAlignment w:val="baseline"/>
              <w:rPr>
                <w:rFonts w:eastAsia="Yu Mincho"/>
              </w:rPr>
            </w:pPr>
            <w:r>
              <w:rPr>
                <w:rFonts w:eastAsia="Yu Mincho"/>
              </w:rPr>
              <w:t>BS Antenna height in meters</w:t>
            </w:r>
          </w:p>
        </w:tc>
        <w:tc>
          <w:tcPr>
            <w:tcW w:w="1140" w:type="pct"/>
            <w:vAlign w:val="center"/>
          </w:tcPr>
          <w:p>
            <w:pPr>
              <w:pStyle w:val="36"/>
              <w:overflowPunct w:val="0"/>
              <w:autoSpaceDE w:val="0"/>
              <w:autoSpaceDN w:val="0"/>
              <w:adjustRightInd w:val="0"/>
              <w:spacing w:after="180"/>
              <w:textAlignment w:val="baseline"/>
              <w:rPr>
                <w:rFonts w:hint="default" w:eastAsia="宋体"/>
                <w:b w:val="0"/>
                <w:bCs/>
                <w:lang w:val="en-US" w:eastAsia="zh-CN"/>
              </w:rPr>
            </w:pPr>
            <w:r>
              <w:rPr>
                <w:rFonts w:hint="eastAsia" w:eastAsia="宋体"/>
                <w:lang w:val="en-US" w:eastAsia="zh-CN"/>
              </w:rPr>
              <w:t>25</w:t>
            </w:r>
          </w:p>
        </w:tc>
        <w:tc>
          <w:tcPr>
            <w:tcW w:w="1104" w:type="pct"/>
            <w:vAlign w:val="center"/>
          </w:tcPr>
          <w:p>
            <w:pPr>
              <w:pStyle w:val="37"/>
              <w:overflowPunct w:val="0"/>
              <w:autoSpaceDE w:val="0"/>
              <w:autoSpaceDN w:val="0"/>
              <w:adjustRightInd w:val="0"/>
              <w:spacing w:after="180"/>
              <w:textAlignment w:val="baseline"/>
              <w:rPr>
                <w:rFonts w:hint="default" w:eastAsia="宋体"/>
                <w:lang w:val="en-US" w:eastAsia="zh-CN"/>
              </w:rPr>
            </w:pPr>
            <w:r>
              <w:rPr>
                <w:rFonts w:hint="eastAsia" w:eastAsia="宋体"/>
                <w:lang w:val="en-US" w:eastAsia="zh-CN"/>
              </w:rPr>
              <w:t>10</w:t>
            </w:r>
          </w:p>
        </w:tc>
        <w:tc>
          <w:tcPr>
            <w:tcW w:w="1838" w:type="pct"/>
            <w:vMerge w:val="continue"/>
            <w:vAlign w:val="center"/>
          </w:tcPr>
          <w:p>
            <w:pPr>
              <w:pStyle w:val="38"/>
              <w:overflowPunct w:val="0"/>
              <w:autoSpaceDE w:val="0"/>
              <w:autoSpaceDN w:val="0"/>
              <w:adjustRightInd w:val="0"/>
              <w:spacing w:after="180"/>
              <w:textAlignment w:val="baseline"/>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 w:type="pct"/>
            <w:vAlign w:val="center"/>
          </w:tcPr>
          <w:p>
            <w:pPr>
              <w:pStyle w:val="37"/>
              <w:overflowPunct w:val="0"/>
              <w:autoSpaceDE w:val="0"/>
              <w:autoSpaceDN w:val="0"/>
              <w:adjustRightInd w:val="0"/>
              <w:spacing w:after="180"/>
              <w:textAlignment w:val="baseline"/>
              <w:rPr>
                <w:rFonts w:eastAsia="Yu Mincho"/>
              </w:rPr>
            </w:pPr>
            <w:r>
              <w:rPr>
                <w:rFonts w:eastAsia="Yu Mincho"/>
              </w:rPr>
              <w:t>UE Outdoor/indoor</w:t>
            </w:r>
          </w:p>
        </w:tc>
        <w:tc>
          <w:tcPr>
            <w:tcW w:w="2244" w:type="pct"/>
            <w:gridSpan w:val="2"/>
            <w:vAlign w:val="center"/>
          </w:tcPr>
          <w:p>
            <w:pPr>
              <w:pStyle w:val="37"/>
              <w:overflowPunct w:val="0"/>
              <w:autoSpaceDE w:val="0"/>
              <w:autoSpaceDN w:val="0"/>
              <w:adjustRightInd w:val="0"/>
              <w:spacing w:after="180"/>
              <w:textAlignment w:val="baseline"/>
              <w:rPr>
                <w:rFonts w:eastAsia="Yu Mincho"/>
              </w:rPr>
            </w:pPr>
            <w:r>
              <w:rPr>
                <w:rFonts w:eastAsia="Yu Mincho"/>
              </w:rPr>
              <w:t>100% Outdoor</w:t>
            </w:r>
          </w:p>
        </w:tc>
        <w:tc>
          <w:tcPr>
            <w:tcW w:w="1838" w:type="pct"/>
            <w:vAlign w:val="center"/>
          </w:tcPr>
          <w:p>
            <w:pPr>
              <w:pStyle w:val="38"/>
              <w:overflowPunct w:val="0"/>
              <w:autoSpaceDE w:val="0"/>
              <w:autoSpaceDN w:val="0"/>
              <w:adjustRightInd w:val="0"/>
              <w:spacing w:after="180"/>
              <w:textAlignment w:val="baseline"/>
              <w:rPr>
                <w:rFonts w:eastAsia="等线"/>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 w:type="pct"/>
            <w:vAlign w:val="center"/>
          </w:tcPr>
          <w:p>
            <w:pPr>
              <w:pStyle w:val="37"/>
              <w:overflowPunct w:val="0"/>
              <w:autoSpaceDE w:val="0"/>
              <w:autoSpaceDN w:val="0"/>
              <w:adjustRightInd w:val="0"/>
              <w:spacing w:after="180"/>
              <w:textAlignment w:val="baseline"/>
              <w:rPr>
                <w:rFonts w:eastAsia="Yu Mincho"/>
              </w:rPr>
            </w:pPr>
            <w:r>
              <w:rPr>
                <w:rFonts w:eastAsia="Yu Mincho"/>
              </w:rPr>
              <w:t>UE height in meter</w:t>
            </w:r>
          </w:p>
        </w:tc>
        <w:tc>
          <w:tcPr>
            <w:tcW w:w="1140" w:type="pct"/>
            <w:vAlign w:val="center"/>
          </w:tcPr>
          <w:p>
            <w:pPr>
              <w:pStyle w:val="37"/>
              <w:overflowPunct w:val="0"/>
              <w:autoSpaceDE w:val="0"/>
              <w:autoSpaceDN w:val="0"/>
              <w:adjustRightInd w:val="0"/>
              <w:spacing w:after="180"/>
              <w:textAlignment w:val="baseline"/>
              <w:rPr>
                <w:rFonts w:hint="default" w:eastAsia="宋体"/>
                <w:lang w:val="en-US" w:eastAsia="zh-CN"/>
              </w:rPr>
            </w:pPr>
            <w:r>
              <w:rPr>
                <w:rFonts w:eastAsia="Yu Mincho"/>
              </w:rPr>
              <w:t>1.5</w:t>
            </w:r>
          </w:p>
        </w:tc>
        <w:tc>
          <w:tcPr>
            <w:tcW w:w="1104" w:type="pct"/>
            <w:vAlign w:val="center"/>
          </w:tcPr>
          <w:p>
            <w:pPr>
              <w:pStyle w:val="37"/>
              <w:overflowPunct w:val="0"/>
              <w:autoSpaceDE w:val="0"/>
              <w:autoSpaceDN w:val="0"/>
              <w:adjustRightInd w:val="0"/>
              <w:spacing w:after="180"/>
              <w:textAlignment w:val="baseline"/>
              <w:rPr>
                <w:rFonts w:hint="default" w:eastAsia="宋体"/>
                <w:lang w:val="en-US" w:eastAsia="zh-CN"/>
              </w:rPr>
            </w:pPr>
            <w:r>
              <w:rPr>
                <w:rFonts w:hint="eastAsia" w:eastAsia="宋体"/>
                <w:lang w:val="en-US" w:eastAsia="zh-CN"/>
              </w:rPr>
              <w:t>1.5</w:t>
            </w:r>
          </w:p>
        </w:tc>
        <w:tc>
          <w:tcPr>
            <w:tcW w:w="1838" w:type="pct"/>
            <w:vAlign w:val="center"/>
          </w:tcPr>
          <w:p>
            <w:pPr>
              <w:pStyle w:val="38"/>
              <w:overflowPunct w:val="0"/>
              <w:autoSpaceDE w:val="0"/>
              <w:autoSpaceDN w:val="0"/>
              <w:adjustRightInd w:val="0"/>
              <w:spacing w:after="180"/>
              <w:textAlignment w:val="baseline"/>
              <w:rPr>
                <w:rFonts w:eastAsia="Yu Mincho"/>
              </w:rPr>
            </w:pPr>
            <w:r>
              <w:rPr>
                <w:rFonts w:eastAsia="Yu Mincho"/>
              </w:rPr>
              <w:t xml:space="preserve">RP-200559 [12] </w:t>
            </w:r>
            <w:r>
              <w:rPr>
                <w:rFonts w:hint="eastAsia" w:eastAsia="Yu Mincho"/>
              </w:rPr>
              <w:t>3</w:t>
            </w:r>
            <w:r>
              <w:rPr>
                <w:rFonts w:eastAsia="Yu Mincho"/>
              </w:rPr>
              <w:t>GPP LS to ITU-R WP5D and</w:t>
            </w:r>
            <w:r>
              <w:rPr>
                <w:rFonts w:hint="eastAsia" w:eastAsia="宋体"/>
                <w:lang w:val="en-US" w:eastAsia="zh-CN"/>
              </w:rPr>
              <w:t xml:space="preserve"> </w:t>
            </w:r>
            <w:r>
              <w:rPr>
                <w:rFonts w:eastAsia="Yu Mincho"/>
              </w:rPr>
              <w:t>ITU-R WP5D</w:t>
            </w:r>
          </w:p>
          <w:p>
            <w:pPr>
              <w:pStyle w:val="38"/>
              <w:overflowPunct w:val="0"/>
              <w:autoSpaceDE w:val="0"/>
              <w:autoSpaceDN w:val="0"/>
              <w:adjustRightInd w:val="0"/>
              <w:spacing w:after="180"/>
              <w:textAlignment w:val="baseline"/>
              <w:rPr>
                <w:rFonts w:eastAsia="Yu Mincho"/>
              </w:rPr>
            </w:pPr>
            <w:r>
              <w:rPr>
                <w:rFonts w:eastAsia="Yu Mincho"/>
              </w:rPr>
              <w:t>[IMT_</w:t>
            </w:r>
            <w:r>
              <w:rPr>
                <w:rFonts w:hint="eastAsia" w:eastAsia="Yu Mincho"/>
              </w:rPr>
              <w:t>Par</w:t>
            </w:r>
            <w:r>
              <w:rPr>
                <w:rFonts w:eastAsia="Yu Mincho"/>
              </w:rPr>
              <w:t>ameters] [13]</w:t>
            </w:r>
          </w:p>
        </w:tc>
      </w:tr>
    </w:tbl>
    <w:p>
      <w:pPr>
        <w:rPr>
          <w:rFonts w:eastAsia="宋体"/>
        </w:rPr>
      </w:pPr>
    </w:p>
    <w:p>
      <w:pPr>
        <w:jc w:val="center"/>
        <w:rPr>
          <w:rFonts w:hint="eastAsia"/>
          <w:b/>
          <w:bCs/>
          <w:sz w:val="20"/>
          <w:lang w:val="zh-CN" w:eastAsia="zh-CN"/>
        </w:rPr>
      </w:pPr>
      <w:r>
        <w:rPr>
          <w:rFonts w:hint="eastAsia"/>
          <w:b/>
          <w:bCs/>
          <w:sz w:val="20"/>
          <w:lang w:val="zh-CN" w:eastAsia="zh-CN"/>
        </w:rPr>
        <w:t>Table 2.2.</w:t>
      </w:r>
      <w:r>
        <w:rPr>
          <w:rFonts w:hint="eastAsia"/>
          <w:b/>
          <w:bCs/>
          <w:sz w:val="20"/>
          <w:lang w:val="en-US" w:eastAsia="zh-CN"/>
        </w:rPr>
        <w:t>3</w:t>
      </w:r>
      <w:r>
        <w:rPr>
          <w:rFonts w:hint="eastAsia"/>
          <w:b/>
          <w:bCs/>
          <w:sz w:val="20"/>
          <w:lang w:val="zh-CN" w:eastAsia="zh-CN"/>
        </w:rPr>
        <w:t xml:space="preserve">-3: ACLR/ACS for TN </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8"/>
        <w:gridCol w:w="1350"/>
        <w:gridCol w:w="26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28" w:type="dxa"/>
            <w:gridSpan w:val="2"/>
            <w:shd w:val="clear" w:color="auto" w:fill="auto"/>
          </w:tcPr>
          <w:p>
            <w:pPr>
              <w:pStyle w:val="36"/>
            </w:pPr>
          </w:p>
        </w:tc>
        <w:tc>
          <w:tcPr>
            <w:tcW w:w="2610" w:type="dxa"/>
            <w:shd w:val="clear" w:color="auto" w:fill="auto"/>
          </w:tcPr>
          <w:p>
            <w:pPr>
              <w:pStyle w:val="36"/>
            </w:pPr>
            <w:r>
              <w:rPr>
                <w:rFonts w:hint="eastAsia"/>
              </w:rPr>
              <w:t>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restart"/>
            <w:shd w:val="clear" w:color="auto" w:fill="auto"/>
            <w:vAlign w:val="center"/>
          </w:tcPr>
          <w:p>
            <w:pPr>
              <w:pStyle w:val="37"/>
            </w:pPr>
            <w:r>
              <w:t>BS</w:t>
            </w:r>
          </w:p>
        </w:tc>
        <w:tc>
          <w:tcPr>
            <w:tcW w:w="1350" w:type="dxa"/>
            <w:shd w:val="clear" w:color="auto" w:fill="auto"/>
            <w:vAlign w:val="center"/>
          </w:tcPr>
          <w:p>
            <w:pPr>
              <w:pStyle w:val="37"/>
            </w:pPr>
            <w:r>
              <w:t>ACLR</w:t>
            </w:r>
          </w:p>
        </w:tc>
        <w:tc>
          <w:tcPr>
            <w:tcW w:w="2610" w:type="dxa"/>
            <w:shd w:val="clear" w:color="auto" w:fill="auto"/>
          </w:tcPr>
          <w:p>
            <w:pPr>
              <w:pStyle w:val="37"/>
            </w:pPr>
            <w:r>
              <w:rPr>
                <w:rFonts w:hint="eastAsia" w:eastAsia="宋体"/>
                <w:lang w:val="en-US" w:eastAsia="zh-CN"/>
              </w:rPr>
              <w:t>28</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continue"/>
            <w:shd w:val="clear" w:color="auto" w:fill="auto"/>
            <w:vAlign w:val="center"/>
          </w:tcPr>
          <w:p>
            <w:pPr>
              <w:pStyle w:val="37"/>
            </w:pPr>
          </w:p>
        </w:tc>
        <w:tc>
          <w:tcPr>
            <w:tcW w:w="1350" w:type="dxa"/>
            <w:shd w:val="clear" w:color="auto" w:fill="auto"/>
            <w:vAlign w:val="center"/>
          </w:tcPr>
          <w:p>
            <w:pPr>
              <w:pStyle w:val="37"/>
            </w:pPr>
            <w:r>
              <w:t>ACS</w:t>
            </w:r>
          </w:p>
        </w:tc>
        <w:tc>
          <w:tcPr>
            <w:tcW w:w="2610" w:type="dxa"/>
            <w:shd w:val="clear" w:color="auto" w:fill="auto"/>
          </w:tcPr>
          <w:p>
            <w:pPr>
              <w:pStyle w:val="37"/>
            </w:pPr>
            <w:r>
              <w:rPr>
                <w:rFonts w:hint="eastAsia" w:eastAsia="宋体"/>
                <w:lang w:val="en-US" w:eastAsia="zh-CN"/>
              </w:rPr>
              <w:t>24</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restart"/>
            <w:shd w:val="clear" w:color="auto" w:fill="auto"/>
            <w:vAlign w:val="center"/>
          </w:tcPr>
          <w:p>
            <w:pPr>
              <w:pStyle w:val="37"/>
            </w:pPr>
            <w:r>
              <w:t>UE</w:t>
            </w:r>
          </w:p>
        </w:tc>
        <w:tc>
          <w:tcPr>
            <w:tcW w:w="1350" w:type="dxa"/>
            <w:shd w:val="clear" w:color="auto" w:fill="auto"/>
            <w:vAlign w:val="center"/>
          </w:tcPr>
          <w:p>
            <w:pPr>
              <w:pStyle w:val="37"/>
            </w:pPr>
            <w:r>
              <w:t>ACLR</w:t>
            </w:r>
          </w:p>
        </w:tc>
        <w:tc>
          <w:tcPr>
            <w:tcW w:w="2610" w:type="dxa"/>
            <w:shd w:val="clear" w:color="auto" w:fill="auto"/>
          </w:tcPr>
          <w:p>
            <w:pPr>
              <w:pStyle w:val="37"/>
              <w:rPr>
                <w:rFonts w:hint="default" w:eastAsia="宋体"/>
                <w:lang w:val="en-US" w:eastAsia="zh-CN"/>
              </w:rPr>
            </w:pPr>
            <w:r>
              <w:rPr>
                <w:rFonts w:hint="eastAsia" w:eastAsia="宋体"/>
                <w:lang w:val="en-US" w:eastAsia="zh-CN"/>
              </w:rPr>
              <w:t>17dB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continue"/>
            <w:shd w:val="clear" w:color="auto" w:fill="auto"/>
            <w:vAlign w:val="center"/>
          </w:tcPr>
          <w:p>
            <w:pPr>
              <w:pStyle w:val="37"/>
            </w:pPr>
          </w:p>
        </w:tc>
        <w:tc>
          <w:tcPr>
            <w:tcW w:w="1350" w:type="dxa"/>
            <w:shd w:val="clear" w:color="auto" w:fill="auto"/>
            <w:vAlign w:val="center"/>
          </w:tcPr>
          <w:p>
            <w:pPr>
              <w:pStyle w:val="37"/>
            </w:pPr>
            <w:r>
              <w:t>ACS</w:t>
            </w:r>
          </w:p>
        </w:tc>
        <w:tc>
          <w:tcPr>
            <w:tcW w:w="2610" w:type="dxa"/>
            <w:shd w:val="clear" w:color="auto" w:fill="auto"/>
          </w:tcPr>
          <w:p>
            <w:pPr>
              <w:pStyle w:val="37"/>
              <w:rPr>
                <w:rFonts w:hint="default" w:eastAsia="宋体"/>
                <w:lang w:val="en-US" w:eastAsia="zh-CN"/>
              </w:rPr>
            </w:pPr>
            <w:r>
              <w:rPr>
                <w:rFonts w:hint="eastAsia" w:eastAsia="宋体"/>
                <w:lang w:val="en-US" w:eastAsia="zh-CN"/>
              </w:rPr>
              <w:t>23dB</w:t>
            </w:r>
          </w:p>
        </w:tc>
      </w:tr>
    </w:tbl>
    <w:p>
      <w:pPr>
        <w:rPr>
          <w:lang w:eastAsia="zh-CN"/>
        </w:rPr>
      </w:pPr>
    </w:p>
    <w:p>
      <w:pPr>
        <w:rPr>
          <w:lang w:eastAsia="zh-CN"/>
        </w:rPr>
      </w:pPr>
    </w:p>
    <w:p>
      <w:pPr>
        <w:pStyle w:val="4"/>
        <w:keepNext/>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2"/>
        <w:rPr>
          <w:rFonts w:cs="Arial"/>
          <w:b w:val="0"/>
          <w:bCs w:val="0"/>
        </w:rPr>
      </w:pPr>
      <w:r>
        <w:rPr>
          <w:rFonts w:cs="Arial"/>
          <w:b w:val="0"/>
          <w:bCs w:val="0"/>
        </w:rPr>
        <w:t>2.2.</w:t>
      </w:r>
      <w:r>
        <w:rPr>
          <w:rFonts w:hint="eastAsia" w:cs="Arial"/>
          <w:b w:val="0"/>
          <w:bCs w:val="0"/>
          <w:lang w:val="en-US" w:eastAsia="zh-CN"/>
        </w:rPr>
        <w:t>4</w:t>
      </w:r>
      <w:r>
        <w:rPr>
          <w:rFonts w:cs="Arial"/>
          <w:b w:val="0"/>
          <w:bCs w:val="0"/>
        </w:rPr>
        <w:tab/>
      </w:r>
      <w:r>
        <w:rPr>
          <w:rFonts w:cs="Arial"/>
          <w:b w:val="0"/>
          <w:bCs w:val="0"/>
        </w:rPr>
        <w:t>TN</w:t>
      </w:r>
      <w:r>
        <w:rPr>
          <w:rFonts w:hint="eastAsia" w:cs="Arial"/>
          <w:b w:val="0"/>
          <w:bCs w:val="0"/>
          <w:lang w:val="en-US" w:eastAsia="zh-CN"/>
        </w:rPr>
        <w:t xml:space="preserve"> UE</w:t>
      </w:r>
      <w:r>
        <w:rPr>
          <w:rFonts w:cs="Arial"/>
          <w:b w:val="0"/>
          <w:bCs w:val="0"/>
        </w:rPr>
        <w:t xml:space="preserve"> parameters</w:t>
      </w:r>
    </w:p>
    <w:p>
      <w:pPr>
        <w:snapToGrid w:val="0"/>
        <w:rPr>
          <w:rFonts w:eastAsia="等线"/>
          <w:b/>
          <w:sz w:val="18"/>
          <w:szCs w:val="15"/>
          <w:u w:val="single"/>
        </w:rPr>
      </w:pPr>
      <w:r>
        <w:rPr>
          <w:rFonts w:hint="eastAsia" w:eastAsia="宋体"/>
          <w:lang w:val="en-US" w:eastAsia="zh-CN"/>
        </w:rPr>
        <w:t>TN</w:t>
      </w:r>
      <w:r>
        <w:rPr>
          <w:rFonts w:eastAsia="宋体"/>
        </w:rPr>
        <w:t xml:space="preserve"> UE parameters are given </w:t>
      </w:r>
      <w:r>
        <w:rPr>
          <w:rFonts w:hint="eastAsia" w:eastAsia="宋体"/>
        </w:rPr>
        <w:t xml:space="preserve">in Table </w:t>
      </w:r>
      <w:r>
        <w:rPr>
          <w:rFonts w:eastAsia="宋体"/>
        </w:rPr>
        <w:t>2.2.</w:t>
      </w:r>
      <w:r>
        <w:rPr>
          <w:rFonts w:hint="eastAsia" w:eastAsia="宋体"/>
          <w:lang w:val="en-US" w:eastAsia="zh-CN"/>
        </w:rPr>
        <w:t>4</w:t>
      </w:r>
      <w:r>
        <w:rPr>
          <w:rFonts w:hint="eastAsia" w:eastAsia="宋体"/>
        </w:rPr>
        <w:t>-</w:t>
      </w:r>
      <w:r>
        <w:rPr>
          <w:rFonts w:eastAsia="宋体"/>
        </w:rPr>
        <w:t>1</w:t>
      </w:r>
    </w:p>
    <w:p>
      <w:pPr>
        <w:pStyle w:val="46"/>
        <w:rPr>
          <w:rFonts w:hint="eastAsia" w:ascii="Times New Roman" w:hAnsi="Times New Roman" w:eastAsia="宋体" w:cs="Times New Roman"/>
          <w:b/>
          <w:bCs/>
          <w:kern w:val="2"/>
          <w:sz w:val="20"/>
          <w:szCs w:val="22"/>
          <w:lang w:val="zh-CN" w:eastAsia="zh-CN" w:bidi="ar-SA"/>
        </w:rPr>
      </w:pPr>
      <w:r>
        <w:rPr>
          <w:rFonts w:hint="eastAsia" w:ascii="Times New Roman" w:hAnsi="Times New Roman" w:eastAsia="宋体" w:cs="Times New Roman"/>
          <w:b/>
          <w:bCs/>
          <w:kern w:val="2"/>
          <w:sz w:val="20"/>
          <w:szCs w:val="22"/>
          <w:lang w:val="zh-CN" w:eastAsia="zh-CN" w:bidi="ar-SA"/>
        </w:rPr>
        <w:t>Table 2.2.</w:t>
      </w:r>
      <w:r>
        <w:rPr>
          <w:rFonts w:hint="eastAsia" w:ascii="Times New Roman" w:hAnsi="Times New Roman" w:eastAsia="宋体" w:cs="Times New Roman"/>
          <w:b/>
          <w:bCs/>
          <w:kern w:val="2"/>
          <w:sz w:val="20"/>
          <w:szCs w:val="22"/>
          <w:lang w:val="en-US" w:eastAsia="zh-CN" w:bidi="ar-SA"/>
        </w:rPr>
        <w:t>4</w:t>
      </w:r>
      <w:r>
        <w:rPr>
          <w:rFonts w:hint="eastAsia" w:ascii="Times New Roman" w:hAnsi="Times New Roman" w:eastAsia="宋体" w:cs="Times New Roman"/>
          <w:b/>
          <w:bCs/>
          <w:kern w:val="2"/>
          <w:sz w:val="20"/>
          <w:szCs w:val="22"/>
          <w:lang w:val="zh-CN" w:eastAsia="zh-CN" w:bidi="ar-SA"/>
        </w:rPr>
        <w:t xml:space="preserve">-1: </w:t>
      </w:r>
      <w:r>
        <w:rPr>
          <w:rFonts w:hint="eastAsia" w:ascii="Times New Roman" w:hAnsi="Times New Roman" w:eastAsia="宋体" w:cs="Times New Roman"/>
          <w:b/>
          <w:bCs/>
          <w:kern w:val="2"/>
          <w:sz w:val="20"/>
          <w:szCs w:val="22"/>
          <w:lang w:val="en-US" w:eastAsia="zh-CN" w:bidi="ar-SA"/>
        </w:rPr>
        <w:t xml:space="preserve">TN </w:t>
      </w:r>
      <w:r>
        <w:rPr>
          <w:rFonts w:hint="eastAsia" w:ascii="Times New Roman" w:hAnsi="Times New Roman" w:eastAsia="宋体" w:cs="Times New Roman"/>
          <w:b/>
          <w:bCs/>
          <w:kern w:val="2"/>
          <w:sz w:val="20"/>
          <w:szCs w:val="22"/>
          <w:lang w:val="zh-CN" w:eastAsia="zh-CN" w:bidi="ar-SA"/>
        </w:rPr>
        <w:t>UE characteristics for system level simulations</w:t>
      </w:r>
    </w:p>
    <w:tbl>
      <w:tblPr>
        <w:tblStyle w:val="24"/>
        <w:tblW w:w="491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90"/>
        <w:gridCol w:w="74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824" w:hRule="atLeast"/>
          <w:jc w:val="center"/>
        </w:trPr>
        <w:tc>
          <w:tcPr>
            <w:tcW w:w="1170" w:type="pct"/>
            <w:shd w:val="clear" w:color="auto" w:fill="auto"/>
            <w:vAlign w:val="center"/>
          </w:tcPr>
          <w:p>
            <w:pPr>
              <w:pStyle w:val="38"/>
            </w:pPr>
            <w:r>
              <w:t>Antenna element vertical radiation pattern (dB)</w:t>
            </w:r>
          </w:p>
        </w:tc>
        <w:tc>
          <w:tcPr>
            <w:tcW w:w="3829" w:type="pct"/>
            <w:vAlign w:val="center"/>
          </w:tcPr>
          <w:p>
            <w:pPr>
              <w:pStyle w:val="37"/>
              <w:rPr>
                <w:rFonts w:eastAsia="宋体"/>
              </w:rPr>
            </w:pPr>
            <w:r>
              <w:rPr>
                <w:position w:val="-38"/>
              </w:rPr>
              <w:object>
                <v:shape id="_x0000_i1025" o:spt="75" type="#_x0000_t75" style="height:43pt;width:308.5pt;" o:ole="t" filled="f" o:preferrelative="t" stroked="f" coordsize="21600,21600">
                  <v:path/>
                  <v:fill on="f" focussize="0,0"/>
                  <v:stroke on="f" joinstyle="miter"/>
                  <v:imagedata r:id="rId7" o:title=""/>
                  <o:lock v:ext="edit" aspectratio="t"/>
                  <w10:wrap type="none"/>
                  <w10:anchorlock/>
                </v:shape>
                <o:OLEObject Type="Embed" ProgID="Equation.3" ShapeID="_x0000_i1025" DrawAspect="Content" ObjectID="_1468075725" r:id="rId6">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9" w:hRule="atLeast"/>
          <w:jc w:val="center"/>
        </w:trPr>
        <w:tc>
          <w:tcPr>
            <w:tcW w:w="1170" w:type="pct"/>
            <w:shd w:val="clear" w:color="auto" w:fill="auto"/>
            <w:vAlign w:val="center"/>
          </w:tcPr>
          <w:p>
            <w:pPr>
              <w:pStyle w:val="38"/>
            </w:pPr>
            <w:r>
              <w:t>Antenna element horizontal radiation pattern (dB)</w:t>
            </w:r>
          </w:p>
        </w:tc>
        <w:tc>
          <w:tcPr>
            <w:tcW w:w="3829" w:type="pct"/>
            <w:vAlign w:val="center"/>
          </w:tcPr>
          <w:p>
            <w:pPr>
              <w:pStyle w:val="37"/>
            </w:pPr>
            <w:r>
              <w:rPr>
                <w:position w:val="-38"/>
              </w:rPr>
              <w:object>
                <v:shape id="_x0000_i1026" o:spt="75" type="#_x0000_t75" style="height:43pt;width:273.5pt;" o:ole="t" filled="f" o:preferrelative="t" stroked="f" coordsize="21600,21600">
                  <v:path/>
                  <v:fill on="f" focussize="0,0"/>
                  <v:stroke on="f" joinstyle="miter"/>
                  <v:imagedata r:id="rId9" o:title=""/>
                  <o:lock v:ext="edit" aspectratio="t"/>
                  <w10:wrap type="none"/>
                  <w10:anchorlock/>
                </v:shape>
                <o:OLEObject Type="Embed" ProgID="Equation.3" ShapeID="_x0000_i1026" DrawAspect="Content" ObjectID="_1468075726" r:id="rId8">
                  <o:LockedField>false</o:LockedField>
                </o:OLEObject>
              </w:object>
            </w:r>
          </w:p>
          <w:p>
            <w:pPr>
              <w:pStyle w:val="37"/>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8" w:hRule="atLeast"/>
          <w:jc w:val="center"/>
        </w:trPr>
        <w:tc>
          <w:tcPr>
            <w:tcW w:w="1170" w:type="pct"/>
            <w:shd w:val="clear" w:color="auto" w:fill="auto"/>
            <w:vAlign w:val="center"/>
          </w:tcPr>
          <w:p>
            <w:pPr>
              <w:pStyle w:val="38"/>
            </w:pPr>
            <w:r>
              <w:t>Combining method for 3D antenna element pattern (dB)</w:t>
            </w:r>
          </w:p>
        </w:tc>
        <w:tc>
          <w:tcPr>
            <w:tcW w:w="3829" w:type="pct"/>
            <w:vAlign w:val="center"/>
          </w:tcPr>
          <w:p>
            <w:pPr>
              <w:pStyle w:val="37"/>
              <w:rPr>
                <w:rFonts w:eastAsia="宋体"/>
              </w:rPr>
            </w:pPr>
            <w:r>
              <w:rPr>
                <w:position w:val="-14"/>
              </w:rPr>
              <w:object>
                <v:shape id="_x0000_i1027" o:spt="75" type="#_x0000_t75" style="height:22pt;width:223pt;" o:ole="t" filled="f" o:preferrelative="t" stroked="f" coordsize="21600,21600">
                  <v:path/>
                  <v:fill on="f" focussize="0,0"/>
                  <v:stroke on="f" joinstyle="miter"/>
                  <v:imagedata r:id="rId11" o:title=""/>
                  <o:lock v:ext="edit" aspectratio="t"/>
                  <w10:wrap type="none"/>
                  <w10:anchorlock/>
                </v:shape>
                <o:OLEObject Type="Embed" ProgID="Equation.3" ShapeID="_x0000_i1027" DrawAspect="Content" ObjectID="_1468075727" r:id="rId10">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1" w:hRule="atLeast"/>
          <w:jc w:val="center"/>
        </w:trPr>
        <w:tc>
          <w:tcPr>
            <w:tcW w:w="1170" w:type="pct"/>
            <w:shd w:val="clear" w:color="auto" w:fill="auto"/>
            <w:vAlign w:val="center"/>
          </w:tcPr>
          <w:p>
            <w:pPr>
              <w:pStyle w:val="38"/>
            </w:pPr>
            <w:r>
              <w:t xml:space="preserve">Maximum directional gain of an antenna element </w:t>
            </w:r>
            <w:r>
              <w:rPr>
                <w:i/>
              </w:rPr>
              <w:t>G</w:t>
            </w:r>
            <w:r>
              <w:rPr>
                <w:i/>
                <w:vertAlign w:val="subscript"/>
              </w:rPr>
              <w:t>E,max</w:t>
            </w:r>
          </w:p>
        </w:tc>
        <w:tc>
          <w:tcPr>
            <w:tcW w:w="3829" w:type="pct"/>
            <w:vAlign w:val="center"/>
          </w:tcPr>
          <w:p>
            <w:pPr>
              <w:pStyle w:val="37"/>
              <w:rPr>
                <w:rFonts w:eastAsia="宋体"/>
              </w:rPr>
            </w:pPr>
            <w:r>
              <w:rPr>
                <w:lang w:eastAsia="ja-JP"/>
              </w:rPr>
              <w:t>3</w:t>
            </w:r>
            <w:r>
              <w:rPr>
                <w:rFonts w:eastAsia="宋体"/>
              </w:rPr>
              <w:t xml:space="preserve"> dBi (assuming 5dBi directivity and 2dB loss)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1" w:hRule="atLeast"/>
          <w:jc w:val="center"/>
        </w:trPr>
        <w:tc>
          <w:tcPr>
            <w:tcW w:w="1170" w:type="pct"/>
            <w:shd w:val="clear" w:color="auto" w:fill="auto"/>
            <w:vAlign w:val="center"/>
          </w:tcPr>
          <w:p>
            <w:pPr>
              <w:pStyle w:val="38"/>
              <w:rPr>
                <w:lang w:eastAsia="ja-JP"/>
              </w:rPr>
            </w:pPr>
            <w:r>
              <w:rPr>
                <w:lang w:eastAsia="ja-JP"/>
              </w:rPr>
              <w:t xml:space="preserve">BS antenna configuration </w:t>
            </w:r>
          </w:p>
        </w:tc>
        <w:tc>
          <w:tcPr>
            <w:tcW w:w="3829" w:type="pct"/>
            <w:vAlign w:val="center"/>
          </w:tcPr>
          <w:p>
            <w:pPr>
              <w:pStyle w:val="37"/>
              <w:rPr>
                <w:lang w:eastAsia="ja-JP"/>
              </w:rPr>
            </w:pPr>
            <w:r>
              <w:rPr>
                <w:lang w:eastAsia="ja-JP"/>
              </w:rPr>
              <w:t>(M</w:t>
            </w:r>
            <w:r>
              <w:rPr>
                <w:vertAlign w:val="subscript"/>
                <w:lang w:eastAsia="ja-JP"/>
              </w:rPr>
              <w:t>g</w:t>
            </w:r>
            <w:r>
              <w:rPr>
                <w:lang w:eastAsia="ja-JP"/>
              </w:rPr>
              <w:t>, N</w:t>
            </w:r>
            <w:r>
              <w:rPr>
                <w:vertAlign w:val="subscript"/>
                <w:lang w:eastAsia="ja-JP"/>
              </w:rPr>
              <w:t>g</w:t>
            </w:r>
            <w:r>
              <w:rPr>
                <w:lang w:eastAsia="ja-JP"/>
              </w:rPr>
              <w:t>, M, N, P) = (1, 1, 2, 2, 2)</w:t>
            </w:r>
          </w:p>
          <w:p>
            <w:pPr>
              <w:pStyle w:val="37"/>
              <w:rPr>
                <w:lang w:eastAsia="ja-JP"/>
              </w:rPr>
            </w:pPr>
            <w:r>
              <w:rPr>
                <w:lang w:eastAsia="ja-JP"/>
              </w:rPr>
              <w:t>Note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1" w:hRule="atLeast"/>
          <w:jc w:val="center"/>
        </w:trPr>
        <w:tc>
          <w:tcPr>
            <w:tcW w:w="1170" w:type="pct"/>
            <w:shd w:val="clear" w:color="auto" w:fill="auto"/>
            <w:vAlign w:val="center"/>
          </w:tcPr>
          <w:p>
            <w:pPr>
              <w:pStyle w:val="38"/>
              <w:rPr>
                <w:lang w:eastAsia="ja-JP"/>
              </w:rPr>
            </w:pPr>
            <w:r>
              <w:rPr>
                <w:lang w:eastAsia="ja-JP"/>
              </w:rPr>
              <w:t>(d</w:t>
            </w:r>
            <w:r>
              <w:rPr>
                <w:vertAlign w:val="subscript"/>
                <w:lang w:eastAsia="ja-JP"/>
              </w:rPr>
              <w:t>v</w:t>
            </w:r>
            <w:r>
              <w:rPr>
                <w:lang w:eastAsia="ja-JP"/>
              </w:rPr>
              <w:t>, d</w:t>
            </w:r>
            <w:r>
              <w:rPr>
                <w:vertAlign w:val="subscript"/>
                <w:lang w:eastAsia="ja-JP"/>
              </w:rPr>
              <w:t>h</w:t>
            </w:r>
            <w:r>
              <w:rPr>
                <w:lang w:eastAsia="ja-JP"/>
              </w:rPr>
              <w:t>)</w:t>
            </w:r>
          </w:p>
        </w:tc>
        <w:tc>
          <w:tcPr>
            <w:tcW w:w="3829" w:type="pct"/>
            <w:vAlign w:val="center"/>
          </w:tcPr>
          <w:p>
            <w:pPr>
              <w:pStyle w:val="37"/>
              <w:rPr>
                <w:lang w:eastAsia="ja-JP"/>
              </w:rPr>
            </w:pPr>
            <w:r>
              <w:rPr>
                <w:lang w:eastAsia="ja-JP"/>
              </w:rPr>
              <w:t>(0.5λ, 0.5λ)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1" w:hRule="atLeast"/>
          <w:jc w:val="center"/>
        </w:trPr>
        <w:tc>
          <w:tcPr>
            <w:tcW w:w="1170" w:type="pct"/>
            <w:shd w:val="clear" w:color="auto" w:fill="auto"/>
            <w:vAlign w:val="center"/>
          </w:tcPr>
          <w:p>
            <w:pPr>
              <w:pStyle w:val="38"/>
              <w:rPr>
                <w:lang w:eastAsia="ja-JP"/>
              </w:rPr>
            </w:pPr>
            <w:r>
              <w:rPr>
                <w:lang w:val="en-US" w:eastAsia="ja-JP"/>
              </w:rPr>
              <w:t>UE orientation</w:t>
            </w:r>
          </w:p>
        </w:tc>
        <w:tc>
          <w:tcPr>
            <w:tcW w:w="3829" w:type="pct"/>
            <w:vAlign w:val="center"/>
          </w:tcPr>
          <w:p>
            <w:pPr>
              <w:pStyle w:val="37"/>
              <w:ind w:left="-56"/>
              <w:rPr>
                <w:lang w:eastAsia="ja-JP"/>
              </w:rPr>
            </w:pPr>
            <w:r>
              <w:rPr>
                <w:lang w:val="en-US" w:eastAsia="ja-JP"/>
              </w:rPr>
              <w:t>Random orientation in the azimuth domain: uniformly distributed between -90 and 90 degrees Note 3</w:t>
            </w:r>
          </w:p>
          <w:p>
            <w:pPr>
              <w:pStyle w:val="37"/>
              <w:ind w:left="-56"/>
              <w:rPr>
                <w:lang w:eastAsia="ja-JP"/>
              </w:rPr>
            </w:pPr>
            <w:r>
              <w:rPr>
                <w:lang w:val="en-US" w:eastAsia="ja-JP"/>
              </w:rPr>
              <w:t>Fixed elevation: 90 degrees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1" w:hRule="atLeast"/>
          <w:jc w:val="center"/>
        </w:trPr>
        <w:tc>
          <w:tcPr>
            <w:tcW w:w="5000" w:type="pct"/>
            <w:gridSpan w:val="2"/>
            <w:shd w:val="clear" w:color="auto" w:fill="auto"/>
            <w:vAlign w:val="center"/>
          </w:tcPr>
          <w:p>
            <w:pPr>
              <w:pStyle w:val="49"/>
              <w:rPr>
                <w:lang w:val="de-DE" w:eastAsia="ja-JP"/>
              </w:rPr>
            </w:pPr>
            <w:r>
              <w:rPr>
                <w:lang w:val="de-DE" w:eastAsia="ja-JP"/>
              </w:rPr>
              <w:t>Note 1:</w:t>
            </w:r>
            <w:r>
              <w:rPr>
                <w:lang w:val="sv-SE" w:eastAsia="ja-JP"/>
              </w:rPr>
              <w:tab/>
            </w:r>
            <w:r>
              <w:rPr>
                <w:lang w:val="de-DE" w:eastAsia="ja-JP"/>
              </w:rPr>
              <w:t>Mg = number of antenna panels in elevation, Ng – number of antenna panels in azimuth, M = number of antenna elements/subarrays in elevation, N= number of antenna elements/subarrays in azimuth, P = number of polarizations.</w:t>
            </w:r>
          </w:p>
          <w:p>
            <w:pPr>
              <w:pStyle w:val="49"/>
              <w:rPr>
                <w:lang w:val="de-DE" w:eastAsia="ja-JP"/>
              </w:rPr>
            </w:pPr>
            <w:r>
              <w:rPr>
                <w:lang w:val="de-DE" w:eastAsia="ja-JP"/>
              </w:rPr>
              <w:t>Note 2:</w:t>
            </w:r>
            <w:r>
              <w:rPr>
                <w:lang w:val="sv-SE" w:eastAsia="ja-JP"/>
              </w:rPr>
              <w:tab/>
            </w:r>
            <w:r>
              <w:rPr>
                <w:lang w:val="de-DE" w:eastAsia="ja-JP"/>
              </w:rPr>
              <w:t>TX power is specified per polarization, a single polarization may be simulated under the assumption of polarization match.</w:t>
            </w:r>
          </w:p>
          <w:p>
            <w:pPr>
              <w:pStyle w:val="49"/>
              <w:rPr>
                <w:lang w:eastAsia="ja-JP"/>
              </w:rPr>
            </w:pPr>
            <w:r>
              <w:rPr>
                <w:lang w:val="de-DE" w:eastAsia="ja-JP"/>
              </w:rPr>
              <w:t>Note3:</w:t>
            </w:r>
            <w:r>
              <w:rPr>
                <w:lang w:val="sv-SE" w:eastAsia="ja-JP"/>
              </w:rPr>
              <w:tab/>
            </w:r>
            <w:r>
              <w:rPr>
                <w:lang w:eastAsia="ja-JP"/>
              </w:rPr>
              <w:t>This is done to emulate two panels: the configuration is equivalent to 2 panels with 180 shift in horizontal orientation and UE orientation uniformly distributed in the azimuth domain between -180 and 180 degrees.</w:t>
            </w:r>
          </w:p>
          <w:p>
            <w:pPr>
              <w:pStyle w:val="49"/>
              <w:rPr>
                <w:lang w:eastAsia="ja-JP"/>
              </w:rPr>
            </w:pPr>
            <w:r>
              <w:rPr>
                <w:lang w:eastAsia="ja-JP"/>
              </w:rPr>
              <w:t>Note 4:</w:t>
            </w:r>
            <w:r>
              <w:rPr>
                <w:lang w:val="sv-SE" w:eastAsia="ja-JP"/>
              </w:rPr>
              <w:tab/>
            </w:r>
            <w:r>
              <w:rPr>
                <w:lang w:eastAsia="ja-JP"/>
              </w:rPr>
              <w:t>A 90 degree element beamwidth was assumed for simulations, even though the physically correct beamwidth would be 130 degrees. The difference in assumption does not substantially impact the simulation</w:t>
            </w:r>
          </w:p>
          <w:p>
            <w:pPr>
              <w:pStyle w:val="49"/>
              <w:ind w:left="0" w:firstLine="0"/>
              <w:rPr>
                <w:lang w:eastAsia="ja-JP"/>
              </w:rPr>
            </w:pPr>
          </w:p>
        </w:tc>
      </w:tr>
    </w:tbl>
    <w:p>
      <w:pPr>
        <w:pStyle w:val="42"/>
        <w:bidi w:val="0"/>
        <w:ind w:left="0" w:leftChars="0" w:firstLine="0" w:firstLineChars="0"/>
        <w:rPr>
          <w:rFonts w:hint="default"/>
          <w:lang w:val="en-US" w:eastAsia="zh-CN"/>
        </w:rPr>
      </w:pPr>
    </w:p>
    <w:p>
      <w:pPr>
        <w:keepNext w:val="0"/>
        <w:keepLines w:val="0"/>
        <w:pageBreakBefore w:val="0"/>
        <w:widowControl w:val="0"/>
        <w:kinsoku/>
        <w:wordWrap/>
        <w:overflowPunct/>
        <w:topLinePunct w:val="0"/>
        <w:autoSpaceDE/>
        <w:autoSpaceDN/>
        <w:bidi w:val="0"/>
        <w:adjustRightInd/>
        <w:snapToGrid/>
        <w:textAlignment w:val="auto"/>
        <w:outlineLvl w:val="1"/>
        <w:rPr>
          <w:rFonts w:hint="eastAsia" w:ascii="Arial" w:hAnsi="Arial" w:cs="Arial"/>
          <w:sz w:val="28"/>
          <w:szCs w:val="28"/>
          <w:lang w:val="en-US" w:eastAsia="zh-CN"/>
        </w:rPr>
      </w:pPr>
      <w:bookmarkStart w:id="23" w:name="_Toc104210158"/>
      <w:bookmarkStart w:id="24" w:name="_Toc94170348"/>
      <w:bookmarkStart w:id="25" w:name="_Toc104502870"/>
      <w:bookmarkStart w:id="26" w:name="_Toc104122352"/>
      <w:r>
        <w:rPr>
          <w:rFonts w:hint="eastAsia" w:ascii="Arial" w:hAnsi="Arial" w:cs="Arial"/>
          <w:sz w:val="28"/>
          <w:szCs w:val="28"/>
          <w:lang w:val="en-US" w:eastAsia="zh-CN"/>
        </w:rPr>
        <w:t>2.3.  Antenna and beamforming pattern modelling</w:t>
      </w:r>
      <w:bookmarkEnd w:id="23"/>
      <w:bookmarkEnd w:id="24"/>
      <w:bookmarkEnd w:id="25"/>
      <w:bookmarkEnd w:id="26"/>
    </w:p>
    <w:p>
      <w:pPr>
        <w:pStyle w:val="4"/>
        <w:keepNext/>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2"/>
        <w:rPr>
          <w:rFonts w:cs="Arial"/>
          <w:b w:val="0"/>
          <w:bCs w:val="0"/>
        </w:rPr>
      </w:pPr>
      <w:bookmarkStart w:id="27" w:name="_Toc104210160"/>
      <w:bookmarkStart w:id="28" w:name="_Toc87889249"/>
      <w:bookmarkStart w:id="29" w:name="_Toc104122354"/>
      <w:bookmarkStart w:id="30" w:name="_Toc94170350"/>
      <w:bookmarkStart w:id="31" w:name="_Toc104502872"/>
      <w:r>
        <w:rPr>
          <w:rFonts w:cs="Arial"/>
          <w:b w:val="0"/>
          <w:bCs w:val="0"/>
        </w:rPr>
        <w:t>2.3.</w:t>
      </w:r>
      <w:r>
        <w:rPr>
          <w:rFonts w:hint="eastAsia" w:cs="Arial"/>
          <w:b w:val="0"/>
          <w:bCs w:val="0"/>
          <w:lang w:val="en-US" w:eastAsia="zh-CN"/>
        </w:rPr>
        <w:t>1</w:t>
      </w:r>
      <w:r>
        <w:rPr>
          <w:rFonts w:cs="Arial"/>
          <w:b w:val="0"/>
          <w:bCs w:val="0"/>
        </w:rPr>
        <w:tab/>
      </w:r>
      <w:r>
        <w:rPr>
          <w:rFonts w:hint="eastAsia" w:cs="Arial"/>
          <w:b w:val="0"/>
          <w:bCs w:val="0"/>
          <w:lang w:val="en-US" w:eastAsia="zh-CN"/>
        </w:rPr>
        <w:t>NTN BS</w:t>
      </w:r>
      <w:r>
        <w:rPr>
          <w:rFonts w:cs="Arial"/>
          <w:b w:val="0"/>
          <w:bCs w:val="0"/>
        </w:rPr>
        <w:t xml:space="preserve"> and UE antenna and beam forming pattern modelling</w:t>
      </w:r>
    </w:p>
    <w:p>
      <w:r>
        <w:rPr>
          <w:rFonts w:hint="eastAsia"/>
        </w:rPr>
        <w:t xml:space="preserve">Satellite and UE </w:t>
      </w:r>
      <w:r>
        <w:t>A</w:t>
      </w:r>
      <w:r>
        <w:rPr>
          <w:rFonts w:hint="eastAsia"/>
        </w:rPr>
        <w:t>ntenna and beam forming pattern modelling of satellite could be referred to section 6.</w:t>
      </w:r>
      <w:r>
        <w:t>4.1</w:t>
      </w:r>
      <w:r>
        <w:rPr>
          <w:rFonts w:hint="eastAsia"/>
        </w:rPr>
        <w:t xml:space="preserve"> in </w:t>
      </w:r>
      <w:r>
        <w:t>TR</w:t>
      </w:r>
      <w:r>
        <w:rPr>
          <w:rFonts w:hint="eastAsia"/>
        </w:rPr>
        <w:t xml:space="preserve"> 38.</w:t>
      </w:r>
      <w:r>
        <w:t>8</w:t>
      </w:r>
      <w:r>
        <w:rPr>
          <w:rFonts w:hint="eastAsia"/>
        </w:rPr>
        <w:t>1</w:t>
      </w:r>
      <w:r>
        <w:t>1[5].</w:t>
      </w:r>
    </w:p>
    <w:p>
      <w:r>
        <w:t>The following normalized</w:t>
      </w:r>
      <w:r>
        <w:rPr>
          <w:rFonts w:hint="eastAsia"/>
        </w:rPr>
        <w:t xml:space="preserve"> </w:t>
      </w:r>
      <w:r>
        <w:t>antenna gain pattern, corresponding to a typical reflector antenna with a circular aperture, is considered.</w:t>
      </w:r>
    </w:p>
    <w:p>
      <w:pPr>
        <w:pStyle w:val="44"/>
        <w:jc w:val="center"/>
      </w:pPr>
      <w:r>
        <w:t xml:space="preserve">1                </w:t>
      </w:r>
      <m:oMath>
        <m:r>
          <m:rPr>
            <m:sty m:val="p"/>
          </m:rPr>
          <w:rPr>
            <w:rFonts w:ascii="Cambria Math" w:hAnsi="Cambria Math"/>
          </w:rPr>
          <m:t>for θ=0</m:t>
        </m:r>
      </m:oMath>
    </w:p>
    <w:p>
      <w:pPr>
        <w:pStyle w:val="44"/>
        <w:jc w:val="center"/>
      </w:pPr>
      <m:oMath>
        <m:sSup>
          <m:sSupPr>
            <m:ctrlPr>
              <w:rPr>
                <w:rFonts w:ascii="Cambria Math" w:hAnsi="Cambria Math"/>
                <w:i/>
              </w:rPr>
            </m:ctrlPr>
          </m:sSupPr>
          <m:e>
            <m:r>
              <w:rPr>
                <w:rFonts w:ascii="Cambria Math" w:hAnsi="Cambria Math"/>
              </w:rPr>
              <m:t>4</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J</m:t>
                        </m:r>
                        <m:ctrlPr>
                          <w:rPr>
                            <w:rFonts w:ascii="Cambria Math" w:hAnsi="Cambria Math"/>
                          </w:rPr>
                        </m:ctrlPr>
                      </m:e>
                      <m:sub>
                        <m:r>
                          <w:rPr>
                            <w:rFonts w:ascii="Cambria Math" w:hAnsi="Cambria Math"/>
                          </w:rPr>
                          <m:t>1</m:t>
                        </m:r>
                        <m:ctrlPr>
                          <w:rPr>
                            <w:rFonts w:ascii="Cambria Math" w:hAnsi="Cambria Math"/>
                          </w:rPr>
                        </m:ctrlPr>
                      </m:sub>
                    </m:sSub>
                    <m:d>
                      <m:dPr>
                        <m:ctrlPr>
                          <w:rPr>
                            <w:rFonts w:ascii="Cambria Math" w:hAnsi="Cambria Math"/>
                          </w:rPr>
                        </m:ctrlPr>
                      </m:dPr>
                      <m:e>
                        <m:r>
                          <m:rPr>
                            <m:sty m:val="p"/>
                          </m:rPr>
                          <w:rPr>
                            <w:rFonts w:ascii="Cambria Math" w:hAnsi="Cambria Math"/>
                          </w:rPr>
                          <m:t>ka</m:t>
                        </m:r>
                        <m:func>
                          <m:funcPr>
                            <m:ctrlPr>
                              <w:rPr>
                                <w:rFonts w:ascii="Cambria Math" w:hAnsi="Cambria Math"/>
                              </w:rPr>
                            </m:ctrlPr>
                          </m:funcPr>
                          <m:fName>
                            <m:r>
                              <m:rPr>
                                <m:sty m:val="p"/>
                              </m:rPr>
                              <w:rPr>
                                <w:rFonts w:ascii="Cambria Math" w:hAnsi="Cambria Math"/>
                              </w:rPr>
                              <m:t>sin</m:t>
                            </m:r>
                            <m:ctrlPr>
                              <w:rPr>
                                <w:rFonts w:ascii="Cambria Math" w:hAnsi="Cambria Math"/>
                              </w:rPr>
                            </m:ctrlPr>
                          </m:fName>
                          <m:e>
                            <m:r>
                              <w:rPr>
                                <w:rFonts w:ascii="Cambria Math" w:hAnsi="Cambria Math"/>
                              </w:rPr>
                              <m:t>θ</m:t>
                            </m:r>
                            <m:ctrlPr>
                              <w:rPr>
                                <w:rFonts w:ascii="Cambria Math" w:hAnsi="Cambria Math"/>
                              </w:rPr>
                            </m:ctrlPr>
                          </m:e>
                        </m:func>
                        <m:ctrlPr>
                          <w:rPr>
                            <w:rFonts w:ascii="Cambria Math" w:hAnsi="Cambria Math"/>
                          </w:rPr>
                        </m:ctrlPr>
                      </m:e>
                    </m:d>
                    <m:ctrlPr>
                      <w:rPr>
                        <w:rFonts w:ascii="Cambria Math" w:hAnsi="Cambria Math"/>
                      </w:rPr>
                    </m:ctrlPr>
                  </m:num>
                  <m:den>
                    <m:r>
                      <w:rPr>
                        <w:rFonts w:ascii="Cambria Math" w:hAnsi="Cambria Math"/>
                      </w:rPr>
                      <m:t>ka</m:t>
                    </m:r>
                    <m:func>
                      <m:funcPr>
                        <m:ctrlPr>
                          <w:rPr>
                            <w:rFonts w:ascii="Cambria Math" w:hAnsi="Cambria Math"/>
                            <w:i/>
                          </w:rPr>
                        </m:ctrlPr>
                      </m:funcPr>
                      <m:fName>
                        <m:r>
                          <m:rPr>
                            <m:sty m:val="p"/>
                          </m:rPr>
                          <w:rPr>
                            <w:rFonts w:ascii="Cambria Math" w:hAnsi="Cambria Math"/>
                          </w:rPr>
                          <m:t>sin</m:t>
                        </m:r>
                        <m:ctrlPr>
                          <w:rPr>
                            <w:rFonts w:ascii="Cambria Math" w:hAnsi="Cambria Math"/>
                          </w:rPr>
                        </m:ctrlPr>
                      </m:fName>
                      <m:e>
                        <m:r>
                          <w:rPr>
                            <w:rFonts w:ascii="Cambria Math" w:hAnsi="Cambria Math"/>
                          </w:rPr>
                          <m:t>θ</m:t>
                        </m:r>
                        <m:ctrlPr>
                          <w:rPr>
                            <w:rFonts w:ascii="Cambria Math" w:hAnsi="Cambria Math"/>
                            <w:i/>
                          </w:rPr>
                        </m:ctrlPr>
                      </m:e>
                    </m:func>
                    <m:ctrlPr>
                      <w:rPr>
                        <w:rFonts w:ascii="Cambria Math" w:hAnsi="Cambria Math"/>
                      </w:rPr>
                    </m:ctrlPr>
                  </m:den>
                </m:f>
                <m:ctrlPr>
                  <w:rPr>
                    <w:rFonts w:ascii="Cambria Math" w:hAnsi="Cambria Math"/>
                  </w:rPr>
                </m:ctrlPr>
              </m:e>
            </m:d>
            <m:ctrlPr>
              <w:rPr>
                <w:rFonts w:ascii="Cambria Math" w:hAnsi="Cambria Math"/>
                <w:i/>
              </w:rPr>
            </m:ctrlPr>
          </m:e>
          <m:sup>
            <m:r>
              <w:rPr>
                <w:rFonts w:ascii="Cambria Math" w:hAnsi="Cambria Math"/>
              </w:rPr>
              <m:t>2</m:t>
            </m:r>
            <m:ctrlPr>
              <w:rPr>
                <w:rFonts w:ascii="Cambria Math" w:hAnsi="Cambria Math"/>
                <w:i/>
              </w:rPr>
            </m:ctrlPr>
          </m:sup>
        </m:sSup>
      </m:oMath>
      <w:r>
        <w:t xml:space="preserve">        </w:t>
      </w:r>
      <m:oMath>
        <m:r>
          <m:rPr>
            <m:sty m:val="p"/>
          </m:rPr>
          <w:rPr>
            <w:rFonts w:ascii="Cambria Math" w:hAnsi="Cambria Math"/>
          </w:rPr>
          <m:t>for 0&lt;</m:t>
        </m:r>
        <m:d>
          <m:dPr>
            <m:begChr m:val="|"/>
            <m:endChr m:val="|"/>
            <m:ctrlPr>
              <w:rPr>
                <w:rFonts w:ascii="Cambria Math" w:hAnsi="Cambria Math"/>
              </w:rPr>
            </m:ctrlPr>
          </m:dPr>
          <m:e>
            <m:r>
              <m:rPr>
                <m:sty m:val="p"/>
              </m:rPr>
              <w:rPr>
                <w:rFonts w:ascii="Cambria Math" w:hAnsi="Cambria Math"/>
              </w:rPr>
              <m:t>θ</m:t>
            </m:r>
            <m:ctrlPr>
              <w:rPr>
                <w:rFonts w:ascii="Cambria Math" w:hAnsi="Cambria Math"/>
              </w:rPr>
            </m:ctrlPr>
          </m:e>
        </m:d>
        <m:r>
          <w:rPr>
            <w:rFonts w:ascii="Cambria Math" w:hAnsi="Cambria Math"/>
          </w:rPr>
          <m:t>≤90°</m:t>
        </m:r>
      </m:oMath>
    </w:p>
    <w:p>
      <w:pPr>
        <w:rPr>
          <w:lang w:eastAsia="zh-CN"/>
        </w:rPr>
      </w:pPr>
      <w:r>
        <w:rPr>
          <w:rFonts w:hint="eastAsia"/>
          <w:lang w:eastAsia="zh-CN"/>
        </w:rPr>
        <w:t>w</w:t>
      </w:r>
      <w:r>
        <w:t>here</w:t>
      </w:r>
      <w:r>
        <w:rPr>
          <w:rFonts w:hint="eastAsia"/>
          <w:lang w:eastAsia="zh-CN"/>
        </w:rPr>
        <w:t>:</w:t>
      </w:r>
      <w:r>
        <w:rPr>
          <w:lang w:eastAsia="zh-CN"/>
        </w:rPr>
        <w:tab/>
      </w:r>
      <w:r>
        <w:rPr>
          <w:lang w:eastAsia="zh-CN"/>
        </w:rPr>
        <w:tab/>
      </w:r>
      <w:r>
        <w:rPr>
          <w:lang w:eastAsia="zh-CN"/>
        </w:rPr>
        <w:tab/>
      </w:r>
    </w:p>
    <w:p>
      <w:pPr>
        <w:pStyle w:val="51"/>
      </w:pPr>
      <w:r>
        <w:t>-</w:t>
      </w:r>
      <w:r>
        <w:tab/>
      </w:r>
      <w:r>
        <w:t>J</w:t>
      </w:r>
      <w:r>
        <w:rPr>
          <w:vertAlign w:val="subscript"/>
        </w:rPr>
        <w:t>1</w:t>
      </w:r>
      <w:r>
        <w:t>(x) is the Bessel function of the first kind and first order with argument;</w:t>
      </w:r>
    </w:p>
    <w:p>
      <w:pPr>
        <w:pStyle w:val="51"/>
      </w:pPr>
      <w:r>
        <w:t>-</w:t>
      </w:r>
      <w:r>
        <w:tab/>
      </w:r>
      <w:r>
        <w:t xml:space="preserve">x, </w:t>
      </w:r>
      <w:r>
        <w:fldChar w:fldCharType="begin"/>
      </w:r>
      <w:r>
        <w:instrText xml:space="preserve"> QUOTE </w:instrText>
      </w:r>
      <m:oMath>
        <m:r>
          <m:rPr>
            <m:sty m:val="p"/>
          </m:rPr>
          <w:rPr>
            <w:rFonts w:ascii="Cambria Math" w:hAnsi="Cambria Math"/>
          </w:rPr>
          <m:t xml:space="preserve">a</m:t>
        </m:r>
      </m:oMath>
      <w:r>
        <w:instrText xml:space="preserve"> </w:instrText>
      </w:r>
      <w:r>
        <w:fldChar w:fldCharType="separate"/>
      </w:r>
      <w:r>
        <w:rPr>
          <w:position w:val="-6"/>
        </w:rPr>
        <w:object>
          <v:shape id="_x0000_i1028" o:spt="75" type="#_x0000_t75" style="height:6.9pt;width:6.9pt;" o:ole="t" filled="f" o:preferrelative="t" stroked="f" coordsize="21600,21600">
            <v:path/>
            <v:fill on="f" focussize="0,0"/>
            <v:stroke on="f" joinstyle="miter"/>
            <v:imagedata o:title=""/>
            <o:lock v:ext="edit" aspectratio="t"/>
            <w10:wrap type="none"/>
            <w10:anchorlock/>
          </v:shape>
          <o:OLEObject Type="Embed" ProgID="Equation.3" ShapeID="_x0000_i1028" DrawAspect="Content" ObjectID="_1468075728" r:id="rId12">
            <o:LockedField>false</o:LockedField>
          </o:OLEObject>
        </w:object>
      </w:r>
      <w:r>
        <w:fldChar w:fldCharType="end"/>
      </w:r>
      <w:r>
        <w:t xml:space="preserve"> is the radius of the antenna's circular aperture;</w:t>
      </w:r>
    </w:p>
    <w:p>
      <w:pPr>
        <w:pStyle w:val="51"/>
      </w:pPr>
      <w:r>
        <w:t>-</w:t>
      </w:r>
      <w:r>
        <w:tab/>
      </w:r>
      <w:r>
        <w:t>k = 2</w:t>
      </w:r>
      <w:r>
        <w:rPr>
          <w:rFonts w:ascii="Symbol" w:hAnsi="Symbol"/>
        </w:rPr>
        <w:t></w:t>
      </w:r>
      <w:r>
        <w:t>f/c is the wave number;</w:t>
      </w:r>
    </w:p>
    <w:p>
      <w:pPr>
        <w:pStyle w:val="51"/>
      </w:pPr>
      <w:r>
        <w:t>-</w:t>
      </w:r>
      <w:r>
        <w:tab/>
      </w:r>
      <w:r>
        <w:t>f is the frequency of operation;</w:t>
      </w:r>
    </w:p>
    <w:p>
      <w:pPr>
        <w:pStyle w:val="51"/>
      </w:pPr>
      <w:r>
        <w:t>-</w:t>
      </w:r>
      <w:r>
        <w:tab/>
      </w:r>
      <w:r>
        <w:t xml:space="preserve">c is the speed of light in a vacuum and </w:t>
      </w:r>
      <w:r>
        <w:rPr>
          <w:rFonts w:ascii="Symbol" w:hAnsi="Symbol"/>
        </w:rPr>
        <w:t></w:t>
      </w:r>
      <w:r>
        <w:t xml:space="preserve"> is the angle measured from the bore sight of the antenna's main beam. </w:t>
      </w:r>
    </w:p>
    <w:p>
      <w:r>
        <w:t xml:space="preserve">Note that </w:t>
      </w:r>
      <w:r>
        <w:rPr>
          <w:i/>
        </w:rPr>
        <w:t>ka</w:t>
      </w:r>
      <w:r>
        <w:t xml:space="preserve"> equals to the number of wavelengths on the circumference of the aperture and is independent of the operating frequency.</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4"/>
        <w:gridCol w:w="7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34" w:type="dxa"/>
            <w:shd w:val="clear" w:color="auto" w:fill="auto"/>
            <w:noWrap w:val="0"/>
            <w:vAlign w:val="top"/>
          </w:tcPr>
          <w:p>
            <w:pPr>
              <w:pStyle w:val="38"/>
            </w:pPr>
            <w:r>
              <w:t>Scenario</w:t>
            </w:r>
          </w:p>
        </w:tc>
        <w:tc>
          <w:tcPr>
            <w:tcW w:w="7621" w:type="dxa"/>
            <w:shd w:val="clear" w:color="auto" w:fill="auto"/>
            <w:noWrap w:val="0"/>
            <w:vAlign w:val="top"/>
          </w:tcPr>
          <w:p>
            <w:pPr>
              <w:pStyle w:val="38"/>
              <w:rPr>
                <w:lang w:val="it-IT"/>
              </w:rPr>
            </w:pPr>
            <w:r>
              <w:rPr>
                <w:lang w:val="it-IT"/>
              </w:rPr>
              <w:t>Scenario A, C2 and 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4" w:type="dxa"/>
            <w:shd w:val="clear" w:color="auto" w:fill="auto"/>
            <w:noWrap w:val="0"/>
            <w:vAlign w:val="top"/>
          </w:tcPr>
          <w:p>
            <w:pPr>
              <w:pStyle w:val="38"/>
            </w:pPr>
            <w:r>
              <w:t>Beam layout definition</w:t>
            </w:r>
          </w:p>
        </w:tc>
        <w:tc>
          <w:tcPr>
            <w:tcW w:w="7621" w:type="dxa"/>
            <w:shd w:val="clear" w:color="auto" w:fill="auto"/>
            <w:noWrap w:val="0"/>
            <w:vAlign w:val="top"/>
          </w:tcPr>
          <w:p>
            <w:pPr>
              <w:pStyle w:val="38"/>
            </w:pPr>
            <w:r>
              <w:t>Baseline: Hexagonal mapping of the beam bore sight directions on UV plane defined in the satellite reference frame.</w:t>
            </w:r>
          </w:p>
          <w:p>
            <w:pPr>
              <w:pStyle w:val="38"/>
            </w:pPr>
            <w:r>
              <w:t xml:space="preserve">Only the 3dB beam width parameters should be used. The beam diameter and beam spacing values can be computed directly from the 3 dB beam width assumptions and should be considered as informative.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34" w:type="dxa"/>
            <w:shd w:val="clear" w:color="auto" w:fill="auto"/>
            <w:noWrap w:val="0"/>
            <w:vAlign w:val="top"/>
          </w:tcPr>
          <w:p>
            <w:pPr>
              <w:pStyle w:val="38"/>
            </w:pPr>
            <w:r>
              <w:t>Number of beams</w:t>
            </w:r>
          </w:p>
        </w:tc>
        <w:tc>
          <w:tcPr>
            <w:tcW w:w="7621" w:type="dxa"/>
            <w:shd w:val="clear" w:color="auto" w:fill="auto"/>
            <w:noWrap w:val="0"/>
            <w:vAlign w:val="top"/>
          </w:tcPr>
          <w:p>
            <w:pPr>
              <w:pStyle w:val="38"/>
            </w:pPr>
            <w:r>
              <w:t>Baseline: 19-beam layout considering wrap-around mechanism (i.e. 18 beams surrounding the central beam and allocated on 2 distinct "tiers")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4" w:type="dxa"/>
            <w:shd w:val="clear" w:color="auto" w:fill="auto"/>
            <w:noWrap w:val="0"/>
            <w:vAlign w:val="top"/>
          </w:tcPr>
          <w:p>
            <w:pPr>
              <w:pStyle w:val="38"/>
            </w:pPr>
            <w:r>
              <w:t>UV plane illustration (extracted from [19])</w:t>
            </w:r>
          </w:p>
        </w:tc>
        <w:tc>
          <w:tcPr>
            <w:tcW w:w="7621" w:type="dxa"/>
            <w:shd w:val="clear" w:color="auto" w:fill="auto"/>
            <w:noWrap w:val="0"/>
            <w:vAlign w:val="top"/>
          </w:tcPr>
          <w:p>
            <w:pPr>
              <w:pStyle w:val="38"/>
            </w:pPr>
            <w:r>
              <w:drawing>
                <wp:inline distT="0" distB="0" distL="114300" distR="114300">
                  <wp:extent cx="3901440" cy="2520950"/>
                  <wp:effectExtent l="0" t="0" r="3810" b="12700"/>
                  <wp:docPr id="7"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3"/>
                          <pic:cNvPicPr>
                            <a:picLocks noChangeAspect="1"/>
                          </pic:cNvPicPr>
                        </pic:nvPicPr>
                        <pic:blipFill>
                          <a:blip r:embed="rId13"/>
                          <a:stretch>
                            <a:fillRect/>
                          </a:stretch>
                        </pic:blipFill>
                        <pic:spPr>
                          <a:xfrm>
                            <a:off x="0" y="0"/>
                            <a:ext cx="3901440" cy="252095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34" w:type="dxa"/>
            <w:shd w:val="clear" w:color="auto" w:fill="auto"/>
            <w:noWrap w:val="0"/>
            <w:vAlign w:val="top"/>
          </w:tcPr>
          <w:p>
            <w:pPr>
              <w:pStyle w:val="38"/>
            </w:pPr>
            <w:r>
              <w:t>UV plane convention</w:t>
            </w:r>
          </w:p>
        </w:tc>
        <w:tc>
          <w:tcPr>
            <w:tcW w:w="7621" w:type="dxa"/>
            <w:shd w:val="clear" w:color="auto" w:fill="auto"/>
            <w:noWrap w:val="0"/>
            <w:vAlign w:val="top"/>
          </w:tcPr>
          <w:p>
            <w:pPr>
              <w:pStyle w:val="38"/>
            </w:pPr>
            <w:r>
              <w:t>U axis is defined as the perpendicular line to the satellite-earth line on the orbital plane as illustrated here after:</w:t>
            </w:r>
          </w:p>
          <w:p>
            <w:pPr>
              <w:pStyle w:val="38"/>
            </w:pPr>
            <w:r>
              <w:drawing>
                <wp:inline distT="0" distB="0" distL="114300" distR="114300">
                  <wp:extent cx="2545715" cy="1440815"/>
                  <wp:effectExtent l="0" t="0" r="6985" b="6985"/>
                  <wp:docPr id="9"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4"/>
                          <pic:cNvPicPr>
                            <a:picLocks noChangeAspect="1"/>
                          </pic:cNvPicPr>
                        </pic:nvPicPr>
                        <pic:blipFill>
                          <a:blip r:embed="rId14"/>
                          <a:stretch>
                            <a:fillRect/>
                          </a:stretch>
                        </pic:blipFill>
                        <pic:spPr>
                          <a:xfrm>
                            <a:off x="0" y="0"/>
                            <a:ext cx="2545715" cy="1440815"/>
                          </a:xfrm>
                          <a:prstGeom prst="rect">
                            <a:avLst/>
                          </a:prstGeom>
                          <a:noFill/>
                          <a:ln>
                            <a:noFill/>
                          </a:ln>
                        </pic:spPr>
                      </pic:pic>
                    </a:graphicData>
                  </a:graphic>
                </wp:inline>
              </w:drawing>
            </w:r>
          </w:p>
          <w:p>
            <w:pPr>
              <w:pStyle w:val="38"/>
            </w:pPr>
            <w:r>
              <w:t>The straight line being orthogonal to UV plane is pointing towards the Earth centre.</w:t>
            </w:r>
          </w:p>
          <w:p>
            <w:pPr>
              <w:pStyle w:val="38"/>
            </w:pPr>
            <w:r>
              <w:t>UV coordinates of the nadir of the reference satellite is (0,0)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4" w:type="dxa"/>
            <w:shd w:val="clear" w:color="auto" w:fill="auto"/>
            <w:noWrap w:val="0"/>
            <w:vAlign w:val="top"/>
          </w:tcPr>
          <w:p>
            <w:pPr>
              <w:pStyle w:val="38"/>
            </w:pPr>
            <w:r>
              <w:t>Adjacent beam spacing on UV plane</w:t>
            </w:r>
          </w:p>
        </w:tc>
        <w:tc>
          <w:tcPr>
            <w:tcW w:w="7621" w:type="dxa"/>
            <w:shd w:val="clear" w:color="auto" w:fill="auto"/>
            <w:noWrap w:val="0"/>
            <w:vAlign w:val="top"/>
          </w:tcPr>
          <w:p>
            <w:pPr>
              <w:pStyle w:val="38"/>
            </w:pPr>
            <w:r>
              <w:t>Baseline: Adjacent beam spacing computation based on 3dB beam width of the satellite antenna pattern:</w:t>
            </w:r>
          </w:p>
          <w:p>
            <w:pPr>
              <w:pStyle w:val="38"/>
              <w:rPr>
                <w:lang w:val="de-DE"/>
              </w:rPr>
            </w:pPr>
            <w:r>
              <w:rPr>
                <w:lang w:val="de-DE"/>
              </w:rPr>
              <w:t>ABS = sqrt(3) x sin(HPBW/2 [rad])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34" w:type="dxa"/>
            <w:shd w:val="clear" w:color="auto" w:fill="auto"/>
            <w:noWrap w:val="0"/>
            <w:vAlign w:val="top"/>
          </w:tcPr>
          <w:p>
            <w:pPr>
              <w:pStyle w:val="38"/>
            </w:pPr>
            <w:r>
              <w:t>Central beam bore sight direction definition</w:t>
            </w:r>
          </w:p>
        </w:tc>
        <w:tc>
          <w:tcPr>
            <w:tcW w:w="7621" w:type="dxa"/>
            <w:shd w:val="clear" w:color="auto" w:fill="auto"/>
            <w:noWrap w:val="0"/>
            <w:vAlign w:val="top"/>
          </w:tcPr>
          <w:p>
            <w:pPr>
              <w:pStyle w:val="38"/>
            </w:pPr>
            <w:r>
              <w:t xml:space="preserve">Baseline: </w:t>
            </w:r>
          </w:p>
          <w:p>
            <w:pPr>
              <w:pStyle w:val="38"/>
            </w:pPr>
            <w:r>
              <w:t>Case 1: Central beam center is considered at nadir point</w:t>
            </w:r>
          </w:p>
          <w:p>
            <w:pPr>
              <w:pStyle w:val="38"/>
            </w:pPr>
            <w:r>
              <w:t>Case 2: Central beam boresight direction computed based on elevation angle target</w:t>
            </w:r>
          </w:p>
        </w:tc>
      </w:tr>
    </w:tbl>
    <w:p/>
    <w:p>
      <w:pPr>
        <w:pStyle w:val="46"/>
      </w:pPr>
      <w:r>
        <w:t xml:space="preserve">Table </w:t>
      </w:r>
      <w:r>
        <w:rPr>
          <w:rFonts w:hint="eastAsia"/>
          <w:lang w:val="en-US" w:eastAsia="zh-CN"/>
        </w:rPr>
        <w:t>2.3.1-1</w:t>
      </w:r>
      <w:r>
        <w:t>: System Level Simulation assumptions for calibration</w:t>
      </w:r>
    </w:p>
    <w:tbl>
      <w:tblPr>
        <w:tblStyle w:val="2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09"/>
        <w:gridCol w:w="68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noWrap w:val="0"/>
            <w:vAlign w:val="center"/>
          </w:tcPr>
          <w:p>
            <w:pPr>
              <w:pStyle w:val="38"/>
            </w:pPr>
            <w:r>
              <w:t>Configuration scenario</w:t>
            </w:r>
          </w:p>
        </w:tc>
        <w:tc>
          <w:tcPr>
            <w:tcW w:w="0" w:type="auto"/>
            <w:noWrap w:val="0"/>
            <w:vAlign w:val="center"/>
          </w:tcPr>
          <w:p>
            <w:pPr>
              <w:pStyle w:val="38"/>
            </w:pPr>
            <w:r>
              <w:t>A, C2 and 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noWrap w:val="0"/>
            <w:vAlign w:val="center"/>
          </w:tcPr>
          <w:p>
            <w:pPr>
              <w:pStyle w:val="38"/>
            </w:pPr>
            <w:r>
              <w:t>Frequency band</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38"/>
            </w:pPr>
            <w:r>
              <w:t>Ka-band (i.e. 20 GHz DL, 30 GHz 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noWrap w:val="0"/>
            <w:vAlign w:val="center"/>
          </w:tcPr>
          <w:p>
            <w:pPr>
              <w:pStyle w:val="38"/>
              <w:rPr>
                <w:lang w:val="de-DE"/>
              </w:rPr>
            </w:pPr>
            <w:r>
              <w:rPr>
                <w:lang w:val="de-DE"/>
              </w:rPr>
              <w:t>Maximum Bandwidth per beam (DL + UL)</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38"/>
            </w:pPr>
            <w:r>
              <w:t>Ka-band: DL 400 MHz and UL 400 MHz</w:t>
            </w:r>
          </w:p>
          <w:p>
            <w:pPr>
              <w:pStyle w:val="38"/>
            </w:pPr>
            <w:r>
              <w:t>The bandwidth per beam must be adapted based on the frequency factor and the polarization re-use option considered.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noWrap w:val="0"/>
            <w:vAlign w:val="center"/>
          </w:tcPr>
          <w:p>
            <w:pPr>
              <w:pStyle w:val="38"/>
            </w:pPr>
            <w:r>
              <w:t>Satellite characteristics (G/T, EIRP density, antenna diameter)</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38"/>
            </w:pPr>
            <w:r>
              <w:t xml:space="preserve">See Table 6.1.1.1-1 and Table 6.1.1.1-2 </w:t>
            </w:r>
          </w:p>
          <w:p>
            <w:pPr>
              <w:pStyle w:val="38"/>
            </w:pPr>
            <w:r>
              <w:t>Note: Same satellite characteristics should be considered for both single and multi-satellite simulations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noWrap w:val="0"/>
            <w:vAlign w:val="center"/>
          </w:tcPr>
          <w:p>
            <w:pPr>
              <w:pStyle w:val="38"/>
            </w:pPr>
            <w:r>
              <w:t>Satellite antenna pattern</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38"/>
            </w:pPr>
            <w:r>
              <w:t>See section 6.4.1 in [2]: Bessel function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noWrap w:val="0"/>
            <w:vAlign w:val="center"/>
          </w:tcPr>
          <w:p>
            <w:pPr>
              <w:pStyle w:val="38"/>
            </w:pPr>
            <w:r>
              <w:t>Satellite polarization configuration</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38"/>
            </w:pPr>
            <w:r>
              <w:t>Circular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noWrap w:val="0"/>
            <w:vAlign w:val="center"/>
          </w:tcPr>
          <w:p>
            <w:pPr>
              <w:pStyle w:val="38"/>
            </w:pPr>
            <w:r>
              <w:t>Beam layout definition</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38"/>
            </w:pPr>
            <w:r>
              <w:t>For singles satellite simulation: See Table 6.1.1.1-4</w:t>
            </w:r>
          </w:p>
          <w:p>
            <w:pPr>
              <w:pStyle w:val="38"/>
            </w:pPr>
            <w:r>
              <w:t>For multi satellites simulation: 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noWrap w:val="0"/>
            <w:vAlign w:val="center"/>
          </w:tcPr>
          <w:p>
            <w:pPr>
              <w:pStyle w:val="38"/>
            </w:pPr>
            <w:r>
              <w:t>Frequency re-use factor</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38"/>
            </w:pPr>
            <w:r>
              <w:t>Option 1: 1</w:t>
            </w:r>
          </w:p>
          <w:p>
            <w:pPr>
              <w:pStyle w:val="38"/>
            </w:pPr>
            <w:r>
              <w:drawing>
                <wp:inline distT="0" distB="0" distL="114300" distR="114300">
                  <wp:extent cx="1900555" cy="2317115"/>
                  <wp:effectExtent l="0" t="0" r="4445" b="6985"/>
                  <wp:docPr id="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5"/>
                          <pic:cNvPicPr>
                            <a:picLocks noChangeAspect="1"/>
                          </pic:cNvPicPr>
                        </pic:nvPicPr>
                        <pic:blipFill>
                          <a:blip r:embed="rId15"/>
                          <a:stretch>
                            <a:fillRect/>
                          </a:stretch>
                        </pic:blipFill>
                        <pic:spPr>
                          <a:xfrm>
                            <a:off x="0" y="0"/>
                            <a:ext cx="1900555" cy="2317115"/>
                          </a:xfrm>
                          <a:prstGeom prst="rect">
                            <a:avLst/>
                          </a:prstGeom>
                          <a:noFill/>
                          <a:ln>
                            <a:noFill/>
                          </a:ln>
                        </pic:spPr>
                      </pic:pic>
                    </a:graphicData>
                  </a:graphic>
                </wp:inline>
              </w:drawing>
            </w:r>
          </w:p>
          <w:p>
            <w:pPr>
              <w:pStyle w:val="38"/>
            </w:pPr>
            <w:r>
              <w:t>Option 2: 3</w:t>
            </w:r>
          </w:p>
          <w:p>
            <w:pPr>
              <w:pStyle w:val="38"/>
            </w:pPr>
            <w:r>
              <w:drawing>
                <wp:inline distT="0" distB="0" distL="114300" distR="114300">
                  <wp:extent cx="1983105" cy="2438400"/>
                  <wp:effectExtent l="0" t="0" r="17145" b="0"/>
                  <wp:docPr id="4"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6"/>
                          <pic:cNvPicPr>
                            <a:picLocks noChangeAspect="1"/>
                          </pic:cNvPicPr>
                        </pic:nvPicPr>
                        <pic:blipFill>
                          <a:blip r:embed="rId16"/>
                          <a:stretch>
                            <a:fillRect/>
                          </a:stretch>
                        </pic:blipFill>
                        <pic:spPr>
                          <a:xfrm>
                            <a:off x="0" y="0"/>
                            <a:ext cx="1983105" cy="2438400"/>
                          </a:xfrm>
                          <a:prstGeom prst="rect">
                            <a:avLst/>
                          </a:prstGeom>
                          <a:noFill/>
                          <a:ln>
                            <a:noFill/>
                          </a:ln>
                        </pic:spPr>
                      </pic:pic>
                    </a:graphicData>
                  </a:graphic>
                </wp:inline>
              </w:drawing>
            </w:r>
          </w:p>
          <w:p>
            <w:pPr>
              <w:pStyle w:val="38"/>
            </w:pPr>
            <w:r>
              <w:t>Option 3: 2 if polarization re-use is enabled</w:t>
            </w:r>
          </w:p>
          <w:p>
            <w:pPr>
              <w:pStyle w:val="38"/>
            </w:pPr>
            <w:r>
              <w:drawing>
                <wp:inline distT="0" distB="0" distL="114300" distR="114300">
                  <wp:extent cx="2096770" cy="2752090"/>
                  <wp:effectExtent l="0" t="0" r="17780" b="10160"/>
                  <wp:docPr id="6"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7"/>
                          <pic:cNvPicPr>
                            <a:picLocks noChangeAspect="1"/>
                          </pic:cNvPicPr>
                        </pic:nvPicPr>
                        <pic:blipFill>
                          <a:blip r:embed="rId17"/>
                          <a:stretch>
                            <a:fillRect/>
                          </a:stretch>
                        </pic:blipFill>
                        <pic:spPr>
                          <a:xfrm>
                            <a:off x="0" y="0"/>
                            <a:ext cx="2096770" cy="275209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noWrap w:val="0"/>
            <w:vAlign w:val="center"/>
          </w:tcPr>
          <w:p>
            <w:pPr>
              <w:pStyle w:val="38"/>
            </w:pPr>
            <w:r>
              <w:t>Polarization re-use</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38"/>
            </w:pPr>
            <w:r>
              <w:t>Option 1: Disable</w:t>
            </w:r>
          </w:p>
          <w:p>
            <w:pPr>
              <w:pStyle w:val="38"/>
            </w:pPr>
            <w:r>
              <w:t>Option 2: Enable</w:t>
            </w:r>
          </w:p>
          <w:p>
            <w:pPr>
              <w:pStyle w:val="38"/>
            </w:pPr>
            <w:r>
              <w:t xml:space="preserve">Note: Polarization re-use should apply only if circular polarization for terminal antenna is considered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noWrap w:val="0"/>
            <w:vAlign w:val="center"/>
          </w:tcPr>
          <w:p>
            <w:pPr>
              <w:pStyle w:val="38"/>
            </w:pPr>
            <w:r>
              <w:t>Channel model</w:t>
            </w:r>
          </w:p>
        </w:tc>
        <w:tc>
          <w:tcPr>
            <w:tcW w:w="0" w:type="auto"/>
            <w:noWrap w:val="0"/>
            <w:vAlign w:val="center"/>
          </w:tcPr>
          <w:p>
            <w:pPr>
              <w:pStyle w:val="38"/>
            </w:pPr>
            <w:r>
              <w:t>Large scale model of [2]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noWrap w:val="0"/>
            <w:vAlign w:val="center"/>
          </w:tcPr>
          <w:p>
            <w:pPr>
              <w:pStyle w:val="38"/>
            </w:pPr>
            <w:r>
              <w:t>Deployment scenarios</w:t>
            </w:r>
          </w:p>
        </w:tc>
        <w:tc>
          <w:tcPr>
            <w:tcW w:w="0" w:type="auto"/>
            <w:noWrap w:val="0"/>
            <w:vAlign w:val="center"/>
          </w:tcPr>
          <w:p>
            <w:pPr>
              <w:pStyle w:val="38"/>
            </w:pPr>
            <w:r>
              <w:t>Base-line: Rural</w:t>
            </w:r>
          </w:p>
          <w:p>
            <w:pPr>
              <w:pStyle w:val="38"/>
            </w:pPr>
            <w:r>
              <w:t>Additional deployment scenario results can be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noWrap w:val="0"/>
            <w:vAlign w:val="center"/>
          </w:tcPr>
          <w:p>
            <w:pPr>
              <w:pStyle w:val="38"/>
            </w:pPr>
            <w:r>
              <w:t>Propagation conditions</w:t>
            </w:r>
          </w:p>
        </w:tc>
        <w:tc>
          <w:tcPr>
            <w:tcW w:w="0" w:type="auto"/>
            <w:noWrap w:val="0"/>
            <w:vAlign w:val="center"/>
          </w:tcPr>
          <w:p>
            <w:pPr>
              <w:pStyle w:val="38"/>
            </w:pPr>
            <w:r>
              <w:t xml:space="preserve">Base-line: </w:t>
            </w:r>
          </w:p>
          <w:p>
            <w:pPr>
              <w:pStyle w:val="38"/>
            </w:pPr>
            <w:r>
              <w:t>Clear Sky</w:t>
            </w:r>
          </w:p>
          <w:p>
            <w:pPr>
              <w:pStyle w:val="38"/>
            </w:pPr>
            <w:r>
              <w:t>Line of sight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noWrap w:val="0"/>
            <w:vAlign w:val="center"/>
          </w:tcPr>
          <w:p>
            <w:pPr>
              <w:pStyle w:val="38"/>
            </w:pPr>
            <w:r>
              <w:t>UEs outdoor/indoor distribution</w:t>
            </w:r>
          </w:p>
        </w:tc>
        <w:tc>
          <w:tcPr>
            <w:tcW w:w="0" w:type="auto"/>
            <w:noWrap w:val="0"/>
            <w:vAlign w:val="center"/>
          </w:tcPr>
          <w:p>
            <w:pPr>
              <w:pStyle w:val="38"/>
            </w:pPr>
            <w:r>
              <w:t>100% outdoor distribution for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noWrap w:val="0"/>
            <w:vAlign w:val="center"/>
          </w:tcPr>
          <w:p>
            <w:pPr>
              <w:pStyle w:val="38"/>
            </w:pPr>
            <w:r>
              <w:t>UE distribution</w:t>
            </w:r>
          </w:p>
        </w:tc>
        <w:tc>
          <w:tcPr>
            <w:tcW w:w="0" w:type="auto"/>
            <w:noWrap w:val="0"/>
            <w:vAlign w:val="center"/>
          </w:tcPr>
          <w:p>
            <w:pPr>
              <w:pStyle w:val="38"/>
            </w:pPr>
            <w:r>
              <w:t>Base-line for calibration: at least X=10 UEs per beam with uniform distribution in all the Voronoi cell area associated to each beam.</w:t>
            </w:r>
          </w:p>
          <w:p>
            <w:pPr>
              <w:pStyle w:val="38"/>
            </w:pPr>
            <w:r>
              <w:t>The cell area associated to a given beam is defined as the Voronoi cell associated with the corresponding beam centers.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noWrap w:val="0"/>
            <w:vAlign w:val="center"/>
          </w:tcPr>
          <w:p>
            <w:pPr>
              <w:pStyle w:val="38"/>
            </w:pPr>
            <w:r>
              <w:t>UE configuration</w:t>
            </w:r>
          </w:p>
        </w:tc>
        <w:tc>
          <w:tcPr>
            <w:tcW w:w="0" w:type="auto"/>
            <w:noWrap w:val="0"/>
            <w:vAlign w:val="center"/>
          </w:tcPr>
          <w:p>
            <w:pPr>
              <w:pStyle w:val="38"/>
            </w:pPr>
          </w:p>
          <w:p>
            <w:pPr>
              <w:pStyle w:val="38"/>
            </w:pPr>
            <w:r>
              <w:t>Ka-band:</w:t>
            </w:r>
          </w:p>
          <w:p>
            <w:pPr>
              <w:pStyle w:val="38"/>
            </w:pPr>
            <w:r>
              <w:t>VSAT</w:t>
            </w:r>
          </w:p>
          <w:p>
            <w:pPr>
              <w:pStyle w:val="38"/>
            </w:pPr>
            <w:r>
              <w:t>Others (optional for scenario A)</w:t>
            </w:r>
          </w:p>
          <w:p>
            <w:pPr>
              <w:pStyle w:val="38"/>
            </w:pPr>
          </w:p>
          <w:p>
            <w:pPr>
              <w:pStyle w:val="38"/>
            </w:pPr>
            <w:r>
              <w:t>See Table 6.1.1.1-3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noWrap w:val="0"/>
            <w:vAlign w:val="center"/>
          </w:tcPr>
          <w:p>
            <w:pPr>
              <w:pStyle w:val="38"/>
            </w:pPr>
            <w:r>
              <w:t>UE orientation</w:t>
            </w:r>
          </w:p>
        </w:tc>
        <w:tc>
          <w:tcPr>
            <w:tcW w:w="0" w:type="auto"/>
            <w:noWrap w:val="0"/>
            <w:vAlign w:val="center"/>
          </w:tcPr>
          <w:p>
            <w:pPr>
              <w:pStyle w:val="38"/>
            </w:pPr>
            <w:r>
              <w:t>VSAT and Others: Ideal Tracking serving beam;</w:t>
            </w:r>
          </w:p>
          <w:p>
            <w:pPr>
              <w:pStyle w:val="38"/>
            </w:pPr>
            <w:r>
              <w:t>Handheld: Random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noWrap w:val="0"/>
            <w:vAlign w:val="center"/>
          </w:tcPr>
          <w:p>
            <w:pPr>
              <w:pStyle w:val="38"/>
            </w:pPr>
            <w:r>
              <w:t>Handover Margin</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38"/>
            </w:pPr>
            <w:r>
              <w:t>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noWrap w:val="0"/>
            <w:vAlign w:val="center"/>
          </w:tcPr>
          <w:p>
            <w:pPr>
              <w:pStyle w:val="38"/>
            </w:pPr>
            <w:r>
              <w:t>UE attachment</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38"/>
            </w:pPr>
            <w:r>
              <w:t>RSRP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noWrap w:val="0"/>
            <w:vAlign w:val="center"/>
          </w:tcPr>
          <w:p>
            <w:pPr>
              <w:pStyle w:val="38"/>
            </w:pPr>
            <w:r>
              <w:t>Metrics for calibration</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38"/>
            </w:pPr>
            <w:r>
              <w:t>Base-line: Coupling loss, Geometry</w:t>
            </w:r>
          </w:p>
          <w:p>
            <w:pPr>
              <w:pStyle w:val="38"/>
            </w:pPr>
            <w:r>
              <w:t>Note: Coupling loss is defined as the signal loss from the antenna port to the antenna 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gridSpan w:val="2"/>
            <w:tcBorders>
              <w:top w:val="single" w:color="auto" w:sz="4" w:space="0"/>
              <w:left w:val="single" w:color="auto" w:sz="4" w:space="0"/>
              <w:bottom w:val="single" w:color="auto" w:sz="4" w:space="0"/>
              <w:right w:val="single" w:color="auto" w:sz="4" w:space="0"/>
            </w:tcBorders>
            <w:noWrap w:val="0"/>
            <w:vAlign w:val="center"/>
          </w:tcPr>
          <w:p>
            <w:pPr>
              <w:pStyle w:val="49"/>
            </w:pPr>
            <w:r>
              <w:t>NOTE 1: Typical impairment values (additional frequency error, SNR loss) due to the feeder link except for delay can be considered to be negligible. When available, specific values can be considered in the evaluation and should be reported.</w:t>
            </w:r>
          </w:p>
          <w:p>
            <w:pPr>
              <w:pStyle w:val="49"/>
            </w:pPr>
            <w:r>
              <w:t>NOTE 2: For the calibration purpose, the ionospheric scintillation loss shall be considered equal to zero (i.e., the UEs are located between 20 and 60 degrees of latitude). The atmospheric absorptions loss shall be considered.</w:t>
            </w:r>
          </w:p>
        </w:tc>
      </w:tr>
    </w:tbl>
    <w:p/>
    <w:p>
      <w:pPr>
        <w:pStyle w:val="4"/>
        <w:keepNext/>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2"/>
        <w:rPr>
          <w:rFonts w:cs="Arial"/>
          <w:b w:val="0"/>
          <w:bCs w:val="0"/>
        </w:rPr>
      </w:pPr>
      <w:r>
        <w:rPr>
          <w:rFonts w:cs="Arial"/>
          <w:b w:val="0"/>
          <w:bCs w:val="0"/>
        </w:rPr>
        <w:t>2.3.2</w:t>
      </w:r>
      <w:r>
        <w:rPr>
          <w:rFonts w:cs="Arial"/>
          <w:b w:val="0"/>
          <w:bCs w:val="0"/>
        </w:rPr>
        <w:tab/>
      </w:r>
      <w:r>
        <w:rPr>
          <w:rFonts w:hint="eastAsia" w:cs="Arial"/>
          <w:b w:val="0"/>
          <w:bCs w:val="0"/>
        </w:rPr>
        <w:t>T</w:t>
      </w:r>
      <w:r>
        <w:rPr>
          <w:rFonts w:cs="Arial"/>
          <w:b w:val="0"/>
          <w:bCs w:val="0"/>
        </w:rPr>
        <w:t>N BS and UE antenna and beam forming pattern modelling</w:t>
      </w:r>
      <w:bookmarkEnd w:id="27"/>
      <w:bookmarkEnd w:id="28"/>
      <w:bookmarkEnd w:id="29"/>
      <w:bookmarkEnd w:id="30"/>
      <w:bookmarkEnd w:id="31"/>
    </w:p>
    <w:p>
      <w:pPr>
        <w:pStyle w:val="46"/>
        <w:jc w:val="left"/>
        <w:rPr>
          <w:rFonts w:hint="default" w:ascii="Times New Roman" w:hAnsi="Times New Roman" w:eastAsia="宋体"/>
          <w:b w:val="0"/>
          <w:bCs w:val="0"/>
          <w:kern w:val="2"/>
          <w:sz w:val="21"/>
          <w:szCs w:val="22"/>
          <w:lang w:val="sv-SE" w:eastAsia="zh-CN"/>
        </w:rPr>
      </w:pPr>
      <w:r>
        <w:rPr>
          <w:rFonts w:hint="default" w:ascii="Times New Roman" w:hAnsi="Times New Roman"/>
          <w:b w:val="0"/>
          <w:bCs w:val="0"/>
          <w:kern w:val="2"/>
          <w:sz w:val="21"/>
          <w:szCs w:val="22"/>
          <w:lang w:val="sv-SE" w:eastAsia="zh-CN"/>
        </w:rPr>
        <w:t>Antenna configuration for FR2 BS are listed in the following table 2.3.2-1 and table 2.3.2-2.</w:t>
      </w:r>
    </w:p>
    <w:p>
      <w:pPr>
        <w:pStyle w:val="46"/>
        <w:rPr>
          <w:lang w:eastAsia="ja-JP"/>
        </w:rPr>
      </w:pPr>
      <w:r>
        <w:rPr>
          <w:lang w:eastAsia="ko-KR"/>
        </w:rPr>
        <w:t xml:space="preserve">Table </w:t>
      </w:r>
      <w:r>
        <w:rPr>
          <w:rFonts w:hint="eastAsia"/>
          <w:lang w:eastAsia="ja-JP"/>
        </w:rPr>
        <w:t>2.</w:t>
      </w:r>
      <w:r>
        <w:rPr>
          <w:rFonts w:hint="eastAsia"/>
          <w:lang w:val="en-US" w:eastAsia="zh-CN"/>
        </w:rPr>
        <w:t>3.2</w:t>
      </w:r>
      <w:r>
        <w:rPr>
          <w:rFonts w:hint="eastAsia"/>
          <w:lang w:eastAsia="ja-JP"/>
        </w:rPr>
        <w:t>-1</w:t>
      </w:r>
      <w:r>
        <w:rPr>
          <w:lang w:eastAsia="ko-KR"/>
        </w:rPr>
        <w:t xml:space="preserve">: FR2 BS antenna </w:t>
      </w:r>
      <w:r>
        <w:rPr>
          <w:lang w:eastAsia="ja-JP"/>
        </w:rPr>
        <w:t>modelling</w:t>
      </w:r>
      <w:r>
        <w:rPr>
          <w:rFonts w:hint="eastAsia"/>
          <w:lang w:eastAsia="ja-JP"/>
        </w:rPr>
        <w:t xml:space="preserve"> </w:t>
      </w:r>
      <w:r>
        <w:rPr>
          <w:lang w:eastAsia="ko-KR"/>
        </w:rPr>
        <w:t>for urban macro</w:t>
      </w:r>
      <w:r>
        <w:rPr>
          <w:rFonts w:hint="eastAsia"/>
          <w:lang w:eastAsia="ja-JP"/>
        </w:rPr>
        <w:t xml:space="preserve"> scenario</w:t>
      </w:r>
    </w:p>
    <w:tbl>
      <w:tblPr>
        <w:tblStyle w:val="24"/>
        <w:tblW w:w="97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90"/>
        <w:gridCol w:w="74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2" w:hRule="atLeast"/>
          <w:jc w:val="center"/>
        </w:trPr>
        <w:tc>
          <w:tcPr>
            <w:tcW w:w="2290" w:type="dxa"/>
            <w:shd w:val="clear" w:color="auto" w:fill="E0E0E0"/>
            <w:vAlign w:val="center"/>
          </w:tcPr>
          <w:p>
            <w:pPr>
              <w:pStyle w:val="36"/>
            </w:pPr>
            <w:r>
              <w:t>Parameter</w:t>
            </w:r>
          </w:p>
        </w:tc>
        <w:tc>
          <w:tcPr>
            <w:tcW w:w="7495" w:type="dxa"/>
            <w:shd w:val="clear" w:color="auto" w:fill="E0E0E0"/>
            <w:vAlign w:val="center"/>
          </w:tcPr>
          <w:p>
            <w:pPr>
              <w:pStyle w:val="36"/>
            </w:pPr>
            <w:r>
              <w:t>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4" w:hRule="atLeast"/>
          <w:jc w:val="center"/>
        </w:trPr>
        <w:tc>
          <w:tcPr>
            <w:tcW w:w="2290" w:type="dxa"/>
            <w:shd w:val="clear" w:color="auto" w:fill="auto"/>
            <w:vAlign w:val="center"/>
          </w:tcPr>
          <w:p>
            <w:pPr>
              <w:pStyle w:val="38"/>
            </w:pPr>
            <w:r>
              <w:t>Antenna element vertical radiation pattern (dB)</w:t>
            </w:r>
          </w:p>
        </w:tc>
        <w:tc>
          <w:tcPr>
            <w:tcW w:w="7495" w:type="dxa"/>
            <w:vAlign w:val="center"/>
          </w:tcPr>
          <w:p>
            <w:pPr>
              <w:pStyle w:val="37"/>
              <w:rPr>
                <w:rFonts w:eastAsia="宋体"/>
              </w:rPr>
            </w:pPr>
            <w:r>
              <w:rPr>
                <w:position w:val="-38"/>
              </w:rPr>
              <w:object>
                <v:shape id="_x0000_i1029" o:spt="75" type="#_x0000_t75" style="height:43pt;width:308.5pt;" o:ole="t" filled="f" o:preferrelative="t" stroked="f" coordsize="21600,21600">
                  <v:path/>
                  <v:fill on="f" focussize="0,0"/>
                  <v:stroke on="f" joinstyle="miter"/>
                  <v:imagedata r:id="rId19" o:title=""/>
                  <o:lock v:ext="edit" aspectratio="t"/>
                  <w10:wrap type="none"/>
                  <w10:anchorlock/>
                </v:shape>
                <o:OLEObject Type="Embed" ProgID="Equation.3" ShapeID="_x0000_i1029" DrawAspect="Content" ObjectID="_1468075729" r:id="rId18">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9" w:hRule="atLeast"/>
          <w:jc w:val="center"/>
        </w:trPr>
        <w:tc>
          <w:tcPr>
            <w:tcW w:w="2290" w:type="dxa"/>
            <w:shd w:val="clear" w:color="auto" w:fill="auto"/>
            <w:vAlign w:val="center"/>
          </w:tcPr>
          <w:p>
            <w:pPr>
              <w:pStyle w:val="38"/>
            </w:pPr>
            <w:r>
              <w:t>Antenna element horizontal radiation pattern (dB)</w:t>
            </w:r>
          </w:p>
        </w:tc>
        <w:tc>
          <w:tcPr>
            <w:tcW w:w="7495" w:type="dxa"/>
            <w:vAlign w:val="center"/>
          </w:tcPr>
          <w:p>
            <w:pPr>
              <w:pStyle w:val="37"/>
            </w:pPr>
            <w:r>
              <w:rPr>
                <w:position w:val="-38"/>
              </w:rPr>
              <w:object>
                <v:shape id="_x0000_i1030" o:spt="75" type="#_x0000_t75" style="height:43pt;width:273.5pt;" o:ole="t" filled="f" o:preferrelative="t" stroked="f" coordsize="21600,21600">
                  <v:path/>
                  <v:fill on="f" focussize="0,0"/>
                  <v:stroke on="f" joinstyle="miter"/>
                  <v:imagedata r:id="rId21" o:title=""/>
                  <o:lock v:ext="edit" aspectratio="t"/>
                  <w10:wrap type="none"/>
                  <w10:anchorlock/>
                </v:shape>
                <o:OLEObject Type="Embed" ProgID="Equation.3" ShapeID="_x0000_i1030" DrawAspect="Content" ObjectID="_1468075730" r:id="rId20">
                  <o:LockedField>false</o:LockedField>
                </o:OLEObject>
              </w:object>
            </w:r>
          </w:p>
          <w:p>
            <w:pPr>
              <w:pStyle w:val="37"/>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8" w:hRule="atLeast"/>
          <w:jc w:val="center"/>
        </w:trPr>
        <w:tc>
          <w:tcPr>
            <w:tcW w:w="2290" w:type="dxa"/>
            <w:shd w:val="clear" w:color="auto" w:fill="auto"/>
            <w:vAlign w:val="center"/>
          </w:tcPr>
          <w:p>
            <w:pPr>
              <w:pStyle w:val="38"/>
            </w:pPr>
            <w:r>
              <w:t>Combining method for 3D antenna element pattern (dB)</w:t>
            </w:r>
          </w:p>
        </w:tc>
        <w:tc>
          <w:tcPr>
            <w:tcW w:w="7495" w:type="dxa"/>
            <w:vAlign w:val="center"/>
          </w:tcPr>
          <w:p>
            <w:pPr>
              <w:pStyle w:val="37"/>
              <w:rPr>
                <w:rFonts w:eastAsia="宋体"/>
              </w:rPr>
            </w:pPr>
            <w:r>
              <w:rPr>
                <w:position w:val="-14"/>
              </w:rPr>
              <w:object>
                <v:shape id="_x0000_i1031" o:spt="75" type="#_x0000_t75" style="height:22pt;width:223pt;" o:ole="t" filled="f" o:preferrelative="t" stroked="f" coordsize="21600,21600">
                  <v:path/>
                  <v:fill on="f" focussize="0,0"/>
                  <v:stroke on="f" joinstyle="miter"/>
                  <v:imagedata r:id="rId11" o:title=""/>
                  <o:lock v:ext="edit" aspectratio="t"/>
                  <w10:wrap type="none"/>
                  <w10:anchorlock/>
                </v:shape>
                <o:OLEObject Type="Embed" ProgID="Equation.3" ShapeID="_x0000_i1031" DrawAspect="Content" ObjectID="_1468075731" r:id="rId22">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1" w:hRule="atLeast"/>
          <w:jc w:val="center"/>
        </w:trPr>
        <w:tc>
          <w:tcPr>
            <w:tcW w:w="2290" w:type="dxa"/>
            <w:shd w:val="clear" w:color="auto" w:fill="auto"/>
            <w:vAlign w:val="center"/>
          </w:tcPr>
          <w:p>
            <w:pPr>
              <w:pStyle w:val="38"/>
            </w:pPr>
            <w:r>
              <w:t xml:space="preserve">Maximum directional gain of an antenna element </w:t>
            </w:r>
            <w:r>
              <w:rPr>
                <w:i/>
              </w:rPr>
              <w:t>G</w:t>
            </w:r>
            <w:r>
              <w:rPr>
                <w:i/>
                <w:vertAlign w:val="subscript"/>
              </w:rPr>
              <w:t>E,max</w:t>
            </w:r>
          </w:p>
        </w:tc>
        <w:tc>
          <w:tcPr>
            <w:tcW w:w="7495" w:type="dxa"/>
            <w:vAlign w:val="center"/>
          </w:tcPr>
          <w:p>
            <w:pPr>
              <w:pStyle w:val="37"/>
              <w:rPr>
                <w:rFonts w:eastAsia="宋体"/>
              </w:rPr>
            </w:pPr>
            <w:r>
              <w:rPr>
                <w:rFonts w:eastAsia="宋体"/>
              </w:rPr>
              <w:t>3 dBi (assuming 1.8dB loss)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1" w:hRule="atLeast"/>
          <w:jc w:val="center"/>
        </w:trPr>
        <w:tc>
          <w:tcPr>
            <w:tcW w:w="2290" w:type="dxa"/>
            <w:shd w:val="clear" w:color="auto" w:fill="auto"/>
            <w:vAlign w:val="center"/>
          </w:tcPr>
          <w:p>
            <w:pPr>
              <w:pStyle w:val="38"/>
              <w:rPr>
                <w:lang w:eastAsia="ja-JP"/>
              </w:rPr>
            </w:pPr>
            <w:r>
              <w:rPr>
                <w:lang w:eastAsia="ja-JP"/>
              </w:rPr>
              <w:t>(M</w:t>
            </w:r>
            <w:r>
              <w:rPr>
                <w:vertAlign w:val="subscript"/>
                <w:lang w:eastAsia="ja-JP"/>
              </w:rPr>
              <w:t>g</w:t>
            </w:r>
            <w:r>
              <w:rPr>
                <w:lang w:eastAsia="ja-JP"/>
              </w:rPr>
              <w:t>, N</w:t>
            </w:r>
            <w:r>
              <w:rPr>
                <w:vertAlign w:val="subscript"/>
                <w:lang w:eastAsia="ja-JP"/>
              </w:rPr>
              <w:t>g</w:t>
            </w:r>
            <w:r>
              <w:rPr>
                <w:lang w:eastAsia="ja-JP"/>
              </w:rPr>
              <w:t xml:space="preserve">, M, N, P) </w:t>
            </w:r>
          </w:p>
        </w:tc>
        <w:tc>
          <w:tcPr>
            <w:tcW w:w="7495" w:type="dxa"/>
            <w:vAlign w:val="center"/>
          </w:tcPr>
          <w:p>
            <w:pPr>
              <w:pStyle w:val="37"/>
              <w:rPr>
                <w:lang w:eastAsia="ja-JP"/>
              </w:rPr>
            </w:pPr>
            <w:r>
              <w:rPr>
                <w:lang w:eastAsia="ja-JP"/>
              </w:rPr>
              <w:t>For 30 GHz: (</w:t>
            </w:r>
            <w:r>
              <w:rPr>
                <w:rFonts w:hint="eastAsia"/>
                <w:lang w:eastAsia="ja-JP"/>
              </w:rPr>
              <w:t>1, 1, 8, 16, 2)</w:t>
            </w:r>
            <w:r>
              <w:rPr>
                <w:lang w:eastAsia="ja-JP"/>
              </w:rPr>
              <w:t xml:space="preserve"> Note1,2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1" w:hRule="atLeast"/>
          <w:jc w:val="center"/>
        </w:trPr>
        <w:tc>
          <w:tcPr>
            <w:tcW w:w="2290" w:type="dxa"/>
            <w:shd w:val="clear" w:color="auto" w:fill="auto"/>
            <w:vAlign w:val="center"/>
          </w:tcPr>
          <w:p>
            <w:pPr>
              <w:pStyle w:val="38"/>
              <w:rPr>
                <w:lang w:eastAsia="ja-JP"/>
              </w:rPr>
            </w:pPr>
            <w:r>
              <w:rPr>
                <w:lang w:eastAsia="ja-JP"/>
              </w:rPr>
              <w:t>(d</w:t>
            </w:r>
            <w:r>
              <w:rPr>
                <w:vertAlign w:val="subscript"/>
                <w:lang w:eastAsia="ja-JP"/>
              </w:rPr>
              <w:t>v</w:t>
            </w:r>
            <w:r>
              <w:rPr>
                <w:lang w:eastAsia="ja-JP"/>
              </w:rPr>
              <w:t>, d</w:t>
            </w:r>
            <w:r>
              <w:rPr>
                <w:vertAlign w:val="subscript"/>
                <w:lang w:eastAsia="ja-JP"/>
              </w:rPr>
              <w:t>h</w:t>
            </w:r>
            <w:r>
              <w:rPr>
                <w:lang w:eastAsia="ja-JP"/>
              </w:rPr>
              <w:t>)</w:t>
            </w:r>
          </w:p>
        </w:tc>
        <w:tc>
          <w:tcPr>
            <w:tcW w:w="7495" w:type="dxa"/>
            <w:vAlign w:val="center"/>
          </w:tcPr>
          <w:p>
            <w:pPr>
              <w:pStyle w:val="37"/>
              <w:rPr>
                <w:lang w:eastAsia="ja-JP"/>
              </w:rPr>
            </w:pPr>
            <w:r>
              <w:rPr>
                <w:lang w:eastAsia="ja-JP"/>
              </w:rPr>
              <w:t>(0.5λ, 0.5λ)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1" w:hRule="atLeast"/>
          <w:jc w:val="center"/>
        </w:trPr>
        <w:tc>
          <w:tcPr>
            <w:tcW w:w="9785" w:type="dxa"/>
            <w:gridSpan w:val="2"/>
            <w:shd w:val="clear" w:color="auto" w:fill="auto"/>
            <w:vAlign w:val="center"/>
          </w:tcPr>
          <w:p>
            <w:pPr>
              <w:pStyle w:val="49"/>
              <w:rPr>
                <w:lang w:val="de-DE" w:eastAsia="ja-JP"/>
              </w:rPr>
            </w:pPr>
            <w:r>
              <w:t>Note 1:</w:t>
            </w:r>
            <w:r>
              <w:rPr>
                <w:lang w:val="sv-SE" w:eastAsia="ja-JP"/>
              </w:rPr>
              <w:tab/>
            </w:r>
            <w:r>
              <w:rPr>
                <w:lang w:val="de-DE" w:eastAsia="ja-JP"/>
              </w:rPr>
              <w:t>Mg = number of antenna panels in elevation, Ng – number of antenna panels in azimuth, M = number of antenna elements/subarrays in elevation, N= number of antenna elements/subarrays in azimuth, P = number of polarizations.</w:t>
            </w:r>
          </w:p>
          <w:p>
            <w:pPr>
              <w:pStyle w:val="49"/>
              <w:rPr>
                <w:lang w:val="de-DE" w:eastAsia="ja-JP"/>
              </w:rPr>
            </w:pPr>
            <w:r>
              <w:rPr>
                <w:lang w:val="de-DE" w:eastAsia="ja-JP"/>
              </w:rPr>
              <w:t>Note 2:</w:t>
            </w:r>
            <w:r>
              <w:rPr>
                <w:lang w:val="sv-SE" w:eastAsia="ja-JP"/>
              </w:rPr>
              <w:tab/>
            </w:r>
            <w:r>
              <w:rPr>
                <w:lang w:val="de-DE" w:eastAsia="ja-JP"/>
              </w:rPr>
              <w:t>TX power is specified per polarization, a single polarization may be simulated under the assumption of polarization match.</w:t>
            </w:r>
          </w:p>
          <w:p>
            <w:pPr>
              <w:pStyle w:val="49"/>
              <w:rPr>
                <w:lang w:eastAsia="ja-JP"/>
              </w:rPr>
            </w:pPr>
            <w:r>
              <w:rPr>
                <w:lang w:eastAsia="ja-JP"/>
              </w:rPr>
              <w:t>Note 3:</w:t>
            </w:r>
            <w:r>
              <w:rPr>
                <w:lang w:val="sv-SE" w:eastAsia="ja-JP"/>
              </w:rPr>
              <w:tab/>
            </w:r>
            <w:r>
              <w:rPr>
                <w:lang w:eastAsia="ja-JP"/>
              </w:rPr>
              <w:t>A 65 degree element beamwidth was assumed for simulations, even though the physically correct beamwidth would be 130 degrees. The difference in assumption does not substantially impact the simulation results.</w:t>
            </w:r>
          </w:p>
        </w:tc>
      </w:tr>
    </w:tbl>
    <w:p>
      <w:pPr>
        <w:rPr>
          <w:lang w:eastAsia="ja-JP"/>
        </w:rPr>
      </w:pPr>
    </w:p>
    <w:p>
      <w:pPr>
        <w:pStyle w:val="46"/>
        <w:rPr>
          <w:lang w:eastAsia="ko-KR"/>
        </w:rPr>
      </w:pPr>
      <w:r>
        <w:rPr>
          <w:lang w:eastAsia="ko-KR"/>
        </w:rPr>
        <w:t xml:space="preserve">Table </w:t>
      </w:r>
      <w:r>
        <w:rPr>
          <w:lang w:eastAsia="ja-JP"/>
        </w:rPr>
        <w:t>2</w:t>
      </w:r>
      <w:r>
        <w:rPr>
          <w:rFonts w:hint="eastAsia"/>
          <w:lang w:val="en-US" w:eastAsia="zh-CN"/>
        </w:rPr>
        <w:t>.3.2</w:t>
      </w:r>
      <w:r>
        <w:rPr>
          <w:rFonts w:hint="eastAsia"/>
          <w:lang w:eastAsia="ja-JP"/>
        </w:rPr>
        <w:t>-</w:t>
      </w:r>
      <w:r>
        <w:rPr>
          <w:rFonts w:hint="eastAsia"/>
          <w:lang w:val="en-US" w:eastAsia="zh-CN"/>
        </w:rPr>
        <w:t>2</w:t>
      </w:r>
      <w:r>
        <w:rPr>
          <w:lang w:eastAsia="ko-KR"/>
        </w:rPr>
        <w:t xml:space="preserve">: FR2 BS antenna element pattern for </w:t>
      </w:r>
      <w:r>
        <w:rPr>
          <w:rFonts w:hint="eastAsia"/>
          <w:lang w:eastAsia="ja-JP"/>
        </w:rPr>
        <w:t>dense u</w:t>
      </w:r>
      <w:r>
        <w:rPr>
          <w:lang w:eastAsia="ko-KR"/>
        </w:rPr>
        <w:t xml:space="preserve">rban </w:t>
      </w:r>
      <w:r>
        <w:rPr>
          <w:rFonts w:hint="eastAsia"/>
          <w:lang w:eastAsia="ja-JP"/>
        </w:rPr>
        <w:t>scenario</w:t>
      </w:r>
    </w:p>
    <w:tbl>
      <w:tblPr>
        <w:tblStyle w:val="24"/>
        <w:tblW w:w="97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90"/>
        <w:gridCol w:w="74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2" w:hRule="atLeast"/>
          <w:jc w:val="center"/>
        </w:trPr>
        <w:tc>
          <w:tcPr>
            <w:tcW w:w="2290" w:type="dxa"/>
            <w:shd w:val="clear" w:color="auto" w:fill="E0E0E0"/>
            <w:vAlign w:val="center"/>
          </w:tcPr>
          <w:p>
            <w:pPr>
              <w:pStyle w:val="36"/>
            </w:pPr>
            <w:r>
              <w:t>Parameter</w:t>
            </w:r>
          </w:p>
        </w:tc>
        <w:tc>
          <w:tcPr>
            <w:tcW w:w="7495" w:type="dxa"/>
            <w:shd w:val="clear" w:color="auto" w:fill="E0E0E0"/>
            <w:vAlign w:val="center"/>
          </w:tcPr>
          <w:p>
            <w:pPr>
              <w:pStyle w:val="36"/>
            </w:pPr>
            <w:r>
              <w:t>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4" w:hRule="atLeast"/>
          <w:jc w:val="center"/>
        </w:trPr>
        <w:tc>
          <w:tcPr>
            <w:tcW w:w="2290" w:type="dxa"/>
            <w:shd w:val="clear" w:color="auto" w:fill="auto"/>
            <w:vAlign w:val="center"/>
          </w:tcPr>
          <w:p>
            <w:pPr>
              <w:pStyle w:val="38"/>
            </w:pPr>
            <w:r>
              <w:t>Antenna element vertical radiation pattern (dB)</w:t>
            </w:r>
          </w:p>
        </w:tc>
        <w:tc>
          <w:tcPr>
            <w:tcW w:w="7495" w:type="dxa"/>
            <w:vAlign w:val="center"/>
          </w:tcPr>
          <w:p>
            <w:pPr>
              <w:pStyle w:val="37"/>
              <w:rPr>
                <w:rFonts w:eastAsia="宋体"/>
              </w:rPr>
            </w:pPr>
            <w:r>
              <w:rPr>
                <w:position w:val="-38"/>
              </w:rPr>
              <w:object>
                <v:shape id="_x0000_i1032" o:spt="75" type="#_x0000_t75" style="height:43pt;width:308.5pt;" o:ole="t" filled="f" o:preferrelative="t" stroked="f" coordsize="21600,21600">
                  <v:path/>
                  <v:fill on="f" focussize="0,0"/>
                  <v:stroke on="f" joinstyle="miter"/>
                  <v:imagedata r:id="rId19" o:title=""/>
                  <o:lock v:ext="edit" aspectratio="t"/>
                  <w10:wrap type="none"/>
                  <w10:anchorlock/>
                </v:shape>
                <o:OLEObject Type="Embed" ProgID="Equation.3" ShapeID="_x0000_i1032" DrawAspect="Content" ObjectID="_1468075732" r:id="rId23">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809" w:hRule="atLeast"/>
          <w:jc w:val="center"/>
        </w:trPr>
        <w:tc>
          <w:tcPr>
            <w:tcW w:w="2290" w:type="dxa"/>
            <w:shd w:val="clear" w:color="auto" w:fill="auto"/>
            <w:vAlign w:val="center"/>
          </w:tcPr>
          <w:p>
            <w:pPr>
              <w:pStyle w:val="38"/>
            </w:pPr>
            <w:r>
              <w:t>Antenna element horizontal radiation pattern (dB)</w:t>
            </w:r>
          </w:p>
        </w:tc>
        <w:tc>
          <w:tcPr>
            <w:tcW w:w="7495" w:type="dxa"/>
            <w:vAlign w:val="center"/>
          </w:tcPr>
          <w:p>
            <w:pPr>
              <w:pStyle w:val="37"/>
            </w:pPr>
            <w:r>
              <w:rPr>
                <w:position w:val="-38"/>
              </w:rPr>
              <w:object>
                <v:shape id="_x0000_i1033" o:spt="75" type="#_x0000_t75" style="height:43pt;width:273.5pt;" o:ole="t" filled="f" o:preferrelative="t" stroked="f" coordsize="21600,21600">
                  <v:path/>
                  <v:fill on="f" focussize="0,0"/>
                  <v:stroke on="f" joinstyle="miter"/>
                  <v:imagedata r:id="rId21" o:title=""/>
                  <o:lock v:ext="edit" aspectratio="t"/>
                  <w10:wrap type="none"/>
                  <w10:anchorlock/>
                </v:shape>
                <o:OLEObject Type="Embed" ProgID="Equation.3" ShapeID="_x0000_i1033" DrawAspect="Content" ObjectID="_1468075733" r:id="rId24">
                  <o:LockedField>false</o:LockedField>
                </o:OLEObject>
              </w:object>
            </w:r>
          </w:p>
          <w:p>
            <w:pPr>
              <w:pStyle w:val="37"/>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8" w:hRule="atLeast"/>
          <w:jc w:val="center"/>
        </w:trPr>
        <w:tc>
          <w:tcPr>
            <w:tcW w:w="2290" w:type="dxa"/>
            <w:shd w:val="clear" w:color="auto" w:fill="auto"/>
            <w:vAlign w:val="center"/>
          </w:tcPr>
          <w:p>
            <w:pPr>
              <w:pStyle w:val="38"/>
            </w:pPr>
            <w:r>
              <w:t>Combining method for 3D antenna element pattern (dB)</w:t>
            </w:r>
          </w:p>
        </w:tc>
        <w:tc>
          <w:tcPr>
            <w:tcW w:w="7495" w:type="dxa"/>
            <w:vAlign w:val="center"/>
          </w:tcPr>
          <w:p>
            <w:pPr>
              <w:pStyle w:val="37"/>
              <w:rPr>
                <w:rFonts w:eastAsia="宋体"/>
              </w:rPr>
            </w:pPr>
            <w:r>
              <w:rPr>
                <w:position w:val="-14"/>
              </w:rPr>
              <w:object>
                <v:shape id="_x0000_i1034" o:spt="75" type="#_x0000_t75" style="height:22pt;width:223pt;" o:ole="t" filled="f" o:preferrelative="t" stroked="f" coordsize="21600,21600">
                  <v:path/>
                  <v:fill on="f" focussize="0,0"/>
                  <v:stroke on="f" joinstyle="miter"/>
                  <v:imagedata r:id="rId11" o:title=""/>
                  <o:lock v:ext="edit" aspectratio="t"/>
                  <w10:wrap type="none"/>
                  <w10:anchorlock/>
                </v:shape>
                <o:OLEObject Type="Embed" ProgID="Equation.3" ShapeID="_x0000_i1034" DrawAspect="Content" ObjectID="_1468075734" r:id="rId25">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1" w:hRule="atLeast"/>
          <w:jc w:val="center"/>
        </w:trPr>
        <w:tc>
          <w:tcPr>
            <w:tcW w:w="2290" w:type="dxa"/>
            <w:shd w:val="clear" w:color="auto" w:fill="auto"/>
            <w:vAlign w:val="center"/>
          </w:tcPr>
          <w:p>
            <w:pPr>
              <w:pStyle w:val="38"/>
            </w:pPr>
            <w:r>
              <w:t xml:space="preserve">Maximum directional gain of an antenna element </w:t>
            </w:r>
            <w:r>
              <w:rPr>
                <w:i/>
              </w:rPr>
              <w:t>G</w:t>
            </w:r>
            <w:r>
              <w:rPr>
                <w:i/>
                <w:vertAlign w:val="subscript"/>
              </w:rPr>
              <w:t>E,max</w:t>
            </w:r>
          </w:p>
        </w:tc>
        <w:tc>
          <w:tcPr>
            <w:tcW w:w="7495" w:type="dxa"/>
            <w:vAlign w:val="center"/>
          </w:tcPr>
          <w:p>
            <w:pPr>
              <w:pStyle w:val="37"/>
              <w:rPr>
                <w:rFonts w:eastAsia="宋体"/>
              </w:rPr>
            </w:pPr>
            <w:r>
              <w:rPr>
                <w:rFonts w:eastAsia="宋体"/>
              </w:rPr>
              <w:t>3 dBi (assuming 1.8dB loss)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1" w:hRule="atLeast"/>
          <w:jc w:val="center"/>
        </w:trPr>
        <w:tc>
          <w:tcPr>
            <w:tcW w:w="2290" w:type="dxa"/>
            <w:shd w:val="clear" w:color="auto" w:fill="auto"/>
            <w:vAlign w:val="center"/>
          </w:tcPr>
          <w:p>
            <w:pPr>
              <w:pStyle w:val="38"/>
              <w:rPr>
                <w:lang w:eastAsia="ja-JP"/>
              </w:rPr>
            </w:pPr>
            <w:r>
              <w:rPr>
                <w:lang w:eastAsia="ja-JP"/>
              </w:rPr>
              <w:t>BS antenna configuration</w:t>
            </w:r>
          </w:p>
        </w:tc>
        <w:tc>
          <w:tcPr>
            <w:tcW w:w="7495" w:type="dxa"/>
            <w:vAlign w:val="center"/>
          </w:tcPr>
          <w:p>
            <w:pPr>
              <w:pStyle w:val="37"/>
              <w:rPr>
                <w:lang w:eastAsia="ja-JP"/>
              </w:rPr>
            </w:pPr>
            <w:r>
              <w:rPr>
                <w:lang w:eastAsia="ja-JP"/>
              </w:rPr>
              <w:t xml:space="preserve"> (M</w:t>
            </w:r>
            <w:r>
              <w:rPr>
                <w:vertAlign w:val="subscript"/>
                <w:lang w:eastAsia="ja-JP"/>
              </w:rPr>
              <w:t>g</w:t>
            </w:r>
            <w:r>
              <w:rPr>
                <w:lang w:eastAsia="ja-JP"/>
              </w:rPr>
              <w:t>, N</w:t>
            </w:r>
            <w:r>
              <w:rPr>
                <w:vertAlign w:val="subscript"/>
                <w:lang w:eastAsia="ja-JP"/>
              </w:rPr>
              <w:t>g</w:t>
            </w:r>
            <w:r>
              <w:rPr>
                <w:lang w:eastAsia="ja-JP"/>
              </w:rPr>
              <w:t>, M, N, P) = (1, 1, 8, 16, 2)</w:t>
            </w:r>
          </w:p>
          <w:p>
            <w:pPr>
              <w:pStyle w:val="37"/>
              <w:rPr>
                <w:lang w:eastAsia="ja-JP"/>
              </w:rPr>
            </w:pPr>
            <w:r>
              <w:rPr>
                <w:lang w:eastAsia="ja-JP"/>
              </w:rPr>
              <w:t>Note 1,2</w:t>
            </w:r>
          </w:p>
          <w:p>
            <w:pPr>
              <w:pStyle w:val="37"/>
              <w:jc w:val="both"/>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1" w:hRule="atLeast"/>
          <w:jc w:val="center"/>
        </w:trPr>
        <w:tc>
          <w:tcPr>
            <w:tcW w:w="2290" w:type="dxa"/>
            <w:shd w:val="clear" w:color="auto" w:fill="auto"/>
            <w:vAlign w:val="center"/>
          </w:tcPr>
          <w:p>
            <w:pPr>
              <w:pStyle w:val="38"/>
              <w:rPr>
                <w:lang w:eastAsia="ja-JP"/>
              </w:rPr>
            </w:pPr>
            <w:r>
              <w:rPr>
                <w:lang w:eastAsia="ja-JP"/>
              </w:rPr>
              <w:t>(d</w:t>
            </w:r>
            <w:r>
              <w:rPr>
                <w:vertAlign w:val="subscript"/>
                <w:lang w:eastAsia="ja-JP"/>
              </w:rPr>
              <w:t>v</w:t>
            </w:r>
            <w:r>
              <w:rPr>
                <w:lang w:eastAsia="ja-JP"/>
              </w:rPr>
              <w:t>, d</w:t>
            </w:r>
            <w:r>
              <w:rPr>
                <w:vertAlign w:val="subscript"/>
                <w:lang w:eastAsia="ja-JP"/>
              </w:rPr>
              <w:t>h</w:t>
            </w:r>
            <w:r>
              <w:rPr>
                <w:lang w:eastAsia="ja-JP"/>
              </w:rPr>
              <w:t>)</w:t>
            </w:r>
          </w:p>
        </w:tc>
        <w:tc>
          <w:tcPr>
            <w:tcW w:w="7495" w:type="dxa"/>
            <w:vAlign w:val="center"/>
          </w:tcPr>
          <w:p>
            <w:pPr>
              <w:pStyle w:val="37"/>
              <w:rPr>
                <w:lang w:eastAsia="ja-JP"/>
              </w:rPr>
            </w:pPr>
            <w:r>
              <w:rPr>
                <w:lang w:eastAsia="ja-JP"/>
              </w:rPr>
              <w:t>(0.5λ, 0.5λ)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1" w:hRule="atLeast"/>
          <w:jc w:val="center"/>
        </w:trPr>
        <w:tc>
          <w:tcPr>
            <w:tcW w:w="9785" w:type="dxa"/>
            <w:gridSpan w:val="2"/>
            <w:shd w:val="clear" w:color="auto" w:fill="auto"/>
            <w:vAlign w:val="center"/>
          </w:tcPr>
          <w:p>
            <w:pPr>
              <w:pStyle w:val="49"/>
              <w:rPr>
                <w:lang w:val="de-DE" w:eastAsia="ja-JP"/>
              </w:rPr>
            </w:pPr>
            <w:r>
              <w:t>Note 1:</w:t>
            </w:r>
            <w:r>
              <w:rPr>
                <w:lang w:val="sv-SE" w:eastAsia="ja-JP"/>
              </w:rPr>
              <w:tab/>
            </w:r>
            <w:r>
              <w:rPr>
                <w:lang w:val="de-DE" w:eastAsia="ja-JP"/>
              </w:rPr>
              <w:t>Mg = number of antenna panels in elevation, Ng – number of antenna panels in azimuth, M = number of antenna elements/subarrays in elevation, N= number of antenna elements/subarrays in azimuth, P = number of polarizations.</w:t>
            </w:r>
          </w:p>
          <w:p>
            <w:pPr>
              <w:pStyle w:val="49"/>
              <w:rPr>
                <w:lang w:val="de-DE" w:eastAsia="ja-JP"/>
              </w:rPr>
            </w:pPr>
            <w:r>
              <w:rPr>
                <w:lang w:val="de-DE" w:eastAsia="ja-JP"/>
              </w:rPr>
              <w:t>Note 2:</w:t>
            </w:r>
            <w:r>
              <w:rPr>
                <w:lang w:val="sv-SE" w:eastAsia="ja-JP"/>
              </w:rPr>
              <w:tab/>
            </w:r>
            <w:r>
              <w:rPr>
                <w:lang w:val="de-DE" w:eastAsia="ja-JP"/>
              </w:rPr>
              <w:t>TX power is specified per polarization, a single polarization may be simulated under the assumption of polarization match.</w:t>
            </w:r>
          </w:p>
          <w:p>
            <w:pPr>
              <w:pStyle w:val="49"/>
              <w:rPr>
                <w:lang w:val="en-US" w:eastAsia="ja-JP"/>
              </w:rPr>
            </w:pPr>
            <w:r>
              <w:rPr>
                <w:lang w:eastAsia="ja-JP"/>
              </w:rPr>
              <w:t>Note 3:</w:t>
            </w:r>
            <w:r>
              <w:rPr>
                <w:lang w:val="sv-SE" w:eastAsia="ja-JP"/>
              </w:rPr>
              <w:tab/>
            </w:r>
            <w:r>
              <w:rPr>
                <w:lang w:eastAsia="ja-JP"/>
              </w:rPr>
              <w:t>A 65 degree element beamwidth was assumed for simulations, even though the physically correct beamwidth would be 130 degrees. The difference in assumption does not substantially impact the simulation results</w:t>
            </w:r>
          </w:p>
        </w:tc>
      </w:tr>
    </w:tbl>
    <w:p>
      <w:pPr>
        <w:pStyle w:val="42"/>
        <w:bidi w:val="0"/>
        <w:ind w:left="0" w:leftChars="0" w:firstLine="0" w:firstLineChars="0"/>
        <w:rPr>
          <w:rFonts w:hint="default"/>
          <w:lang w:val="en-US" w:eastAsia="zh-CN"/>
        </w:rPr>
      </w:pPr>
    </w:p>
    <w:p>
      <w:pPr>
        <w:keepNext w:val="0"/>
        <w:keepLines w:val="0"/>
        <w:pageBreakBefore w:val="0"/>
        <w:widowControl w:val="0"/>
        <w:kinsoku/>
        <w:wordWrap/>
        <w:overflowPunct/>
        <w:topLinePunct w:val="0"/>
        <w:autoSpaceDE/>
        <w:autoSpaceDN/>
        <w:bidi w:val="0"/>
        <w:adjustRightInd/>
        <w:snapToGrid/>
        <w:textAlignment w:val="auto"/>
        <w:outlineLvl w:val="1"/>
        <w:rPr>
          <w:rFonts w:hint="eastAsia" w:ascii="Arial" w:hAnsi="Arial" w:cs="Arial"/>
          <w:sz w:val="28"/>
          <w:szCs w:val="28"/>
          <w:lang w:val="en-US" w:eastAsia="zh-CN"/>
        </w:rPr>
      </w:pPr>
      <w:bookmarkStart w:id="32" w:name="_Toc104502874"/>
      <w:bookmarkStart w:id="33" w:name="_Toc104210162"/>
      <w:bookmarkStart w:id="34" w:name="_Toc104122356"/>
      <w:bookmarkStart w:id="35" w:name="_Toc87889251"/>
      <w:bookmarkStart w:id="36" w:name="_Toc94170352"/>
      <w:r>
        <w:rPr>
          <w:rFonts w:hint="eastAsia" w:ascii="Arial" w:hAnsi="Arial" w:cs="Arial"/>
          <w:sz w:val="28"/>
          <w:szCs w:val="28"/>
          <w:lang w:val="en-US" w:eastAsia="zh-CN"/>
        </w:rPr>
        <w:t>2.4. ACIR model</w:t>
      </w:r>
      <w:bookmarkEnd w:id="32"/>
      <w:bookmarkEnd w:id="33"/>
      <w:bookmarkEnd w:id="34"/>
      <w:bookmarkEnd w:id="35"/>
      <w:bookmarkEnd w:id="36"/>
    </w:p>
    <w:p>
      <w:pPr>
        <w:rPr>
          <w:lang w:val="sv-SE"/>
        </w:rPr>
      </w:pPr>
      <w:r>
        <w:rPr>
          <w:lang w:val="sv-SE"/>
        </w:rPr>
        <w:t>AC</w:t>
      </w:r>
      <w:r>
        <w:rPr>
          <w:rFonts w:hint="eastAsia"/>
          <w:lang w:val="en-US" w:eastAsia="zh-CN"/>
        </w:rPr>
        <w:t>I</w:t>
      </w:r>
      <w:r>
        <w:rPr>
          <w:lang w:val="sv-SE"/>
        </w:rPr>
        <w:t xml:space="preserve">R modelling for TN and </w:t>
      </w:r>
      <w:r>
        <w:rPr>
          <w:rFonts w:hint="eastAsia"/>
          <w:lang w:val="en-US" w:eastAsia="zh-CN"/>
        </w:rPr>
        <w:t>NTN</w:t>
      </w:r>
      <w:r>
        <w:rPr>
          <w:lang w:val="sv-SE"/>
        </w:rPr>
        <w:t xml:space="preserve"> co-existence study referring to clause 5.1.1.4.1 and 5.1.1.4.2 in TR 36.942 is used as baseline. </w:t>
      </w:r>
    </w:p>
    <w:p>
      <w:pPr>
        <w:keepNext w:val="0"/>
        <w:keepLines w:val="0"/>
        <w:pageBreakBefore w:val="0"/>
        <w:widowControl w:val="0"/>
        <w:kinsoku/>
        <w:wordWrap/>
        <w:overflowPunct/>
        <w:topLinePunct w:val="0"/>
        <w:autoSpaceDE/>
        <w:autoSpaceDN/>
        <w:bidi w:val="0"/>
        <w:adjustRightInd/>
        <w:snapToGrid/>
        <w:textAlignment w:val="auto"/>
        <w:outlineLvl w:val="1"/>
        <w:rPr>
          <w:rFonts w:hint="eastAsia" w:ascii="Arial" w:hAnsi="Arial" w:cs="Arial"/>
          <w:sz w:val="28"/>
          <w:szCs w:val="28"/>
          <w:lang w:val="en-US" w:eastAsia="zh-CN"/>
        </w:rPr>
      </w:pPr>
      <w:bookmarkStart w:id="37" w:name="_Toc104502875"/>
      <w:bookmarkStart w:id="38" w:name="_Toc104210163"/>
      <w:bookmarkStart w:id="39" w:name="_Toc87889252"/>
      <w:bookmarkStart w:id="40" w:name="_Toc104122357"/>
      <w:bookmarkStart w:id="41" w:name="_Toc94170353"/>
      <w:r>
        <w:rPr>
          <w:rFonts w:hint="eastAsia" w:ascii="Arial" w:hAnsi="Arial" w:cs="Arial"/>
          <w:sz w:val="28"/>
          <w:szCs w:val="28"/>
          <w:lang w:val="en-US" w:eastAsia="zh-CN"/>
        </w:rPr>
        <w:t>2.5. Propagation model</w:t>
      </w:r>
      <w:bookmarkEnd w:id="37"/>
      <w:bookmarkEnd w:id="38"/>
      <w:bookmarkEnd w:id="39"/>
      <w:bookmarkEnd w:id="40"/>
      <w:bookmarkEnd w:id="41"/>
    </w:p>
    <w:p>
      <w:pPr>
        <w:pStyle w:val="4"/>
        <w:keepNext/>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2"/>
        <w:rPr>
          <w:rFonts w:cs="Arial"/>
          <w:b w:val="0"/>
          <w:bCs w:val="0"/>
        </w:rPr>
      </w:pPr>
      <w:bookmarkStart w:id="42" w:name="_Toc94170354"/>
      <w:bookmarkStart w:id="43" w:name="_Toc104210164"/>
      <w:bookmarkStart w:id="44" w:name="_Toc104122358"/>
      <w:bookmarkStart w:id="45" w:name="_Toc87889253"/>
      <w:bookmarkStart w:id="46" w:name="_Toc104502876"/>
      <w:r>
        <w:rPr>
          <w:rFonts w:cs="Arial"/>
          <w:b w:val="0"/>
          <w:bCs w:val="0"/>
        </w:rPr>
        <w:t>2.5.1</w:t>
      </w:r>
      <w:r>
        <w:rPr>
          <w:rFonts w:hint="eastAsia" w:cs="Arial"/>
          <w:b w:val="0"/>
          <w:bCs w:val="0"/>
          <w:lang w:val="en-US" w:eastAsia="zh-CN"/>
        </w:rPr>
        <w:t xml:space="preserve"> </w:t>
      </w:r>
      <w:r>
        <w:rPr>
          <w:rFonts w:cs="Arial"/>
          <w:b w:val="0"/>
          <w:bCs w:val="0"/>
        </w:rPr>
        <w:t xml:space="preserve">Propagation model between </w:t>
      </w:r>
      <w:r>
        <w:rPr>
          <w:rFonts w:hint="eastAsia" w:cs="Arial"/>
          <w:b w:val="0"/>
          <w:bCs w:val="0"/>
          <w:lang w:val="en-US" w:eastAsia="zh-CN"/>
        </w:rPr>
        <w:t>NTN BS</w:t>
      </w:r>
      <w:r>
        <w:rPr>
          <w:rFonts w:cs="Arial"/>
          <w:b w:val="0"/>
          <w:bCs w:val="0"/>
        </w:rPr>
        <w:t xml:space="preserve"> and UE</w:t>
      </w:r>
      <w:bookmarkEnd w:id="42"/>
      <w:bookmarkEnd w:id="43"/>
      <w:bookmarkEnd w:id="44"/>
      <w:bookmarkEnd w:id="45"/>
      <w:bookmarkEnd w:id="46"/>
    </w:p>
    <w:p>
      <w:pPr>
        <w:rPr>
          <w:rFonts w:eastAsia="宋体"/>
        </w:rPr>
      </w:pPr>
      <w:r>
        <w:rPr>
          <w:rFonts w:hint="eastAsia" w:eastAsia="宋体"/>
        </w:rPr>
        <w:t>P</w:t>
      </w:r>
      <w:r>
        <w:rPr>
          <w:rFonts w:eastAsia="宋体"/>
        </w:rPr>
        <w:t xml:space="preserve">ropagation model between </w:t>
      </w:r>
      <w:r>
        <w:rPr>
          <w:rFonts w:hint="eastAsia"/>
          <w:lang w:val="en-US" w:eastAsia="zh-CN"/>
        </w:rPr>
        <w:t>NTN</w:t>
      </w:r>
      <w:r>
        <w:rPr>
          <w:rFonts w:eastAsia="宋体"/>
        </w:rPr>
        <w:t xml:space="preserve"> </w:t>
      </w:r>
      <w:r>
        <w:rPr>
          <w:rFonts w:hint="eastAsia" w:eastAsia="宋体"/>
          <w:lang w:val="en-US" w:eastAsia="zh-CN"/>
        </w:rPr>
        <w:t>BS</w:t>
      </w:r>
      <w:r>
        <w:rPr>
          <w:rFonts w:eastAsia="宋体"/>
        </w:rPr>
        <w:t xml:space="preserve"> and UE should reference to section 6.6 in TR 38.811[5].</w:t>
      </w:r>
    </w:p>
    <w:p>
      <w:pPr>
        <w:pStyle w:val="4"/>
        <w:keepNext/>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2"/>
        <w:rPr>
          <w:rFonts w:cs="Arial"/>
          <w:b w:val="0"/>
          <w:bCs w:val="0"/>
        </w:rPr>
      </w:pPr>
      <w:bookmarkStart w:id="47" w:name="_Toc94170355"/>
      <w:bookmarkStart w:id="48" w:name="_Toc87889254"/>
      <w:bookmarkStart w:id="49" w:name="_Toc104210165"/>
      <w:bookmarkStart w:id="50" w:name="_Toc104502877"/>
      <w:bookmarkStart w:id="51" w:name="_Toc104122359"/>
      <w:r>
        <w:rPr>
          <w:rFonts w:cs="Arial"/>
          <w:b w:val="0"/>
          <w:bCs w:val="0"/>
        </w:rPr>
        <w:t>2.5.2</w:t>
      </w:r>
      <w:r>
        <w:rPr>
          <w:rFonts w:cs="Arial"/>
          <w:b w:val="0"/>
          <w:bCs w:val="0"/>
        </w:rPr>
        <w:tab/>
      </w:r>
      <w:r>
        <w:rPr>
          <w:rFonts w:cs="Arial"/>
          <w:b w:val="0"/>
          <w:bCs w:val="0"/>
        </w:rPr>
        <w:t>Propagation model between TN BS and UE</w:t>
      </w:r>
      <w:bookmarkEnd w:id="47"/>
      <w:bookmarkEnd w:id="48"/>
      <w:bookmarkEnd w:id="49"/>
      <w:bookmarkEnd w:id="50"/>
      <w:bookmarkEnd w:id="51"/>
    </w:p>
    <w:p>
      <w:r>
        <w:t>Propagation model between TN BS and UE should reference to section 7.4 in TR 38.901</w:t>
      </w:r>
      <w:r>
        <w:rPr>
          <w:color w:val="000000"/>
          <w:szCs w:val="18"/>
        </w:rPr>
        <w:t>[10]</w:t>
      </w:r>
      <w:r>
        <w:t>.</w:t>
      </w:r>
    </w:p>
    <w:p>
      <w:pPr>
        <w:pStyle w:val="4"/>
        <w:keepNext/>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2"/>
        <w:rPr>
          <w:rFonts w:cs="Arial"/>
          <w:b w:val="0"/>
          <w:bCs w:val="0"/>
        </w:rPr>
      </w:pPr>
      <w:bookmarkStart w:id="52" w:name="_Toc104210166"/>
      <w:bookmarkStart w:id="53" w:name="_Toc104502878"/>
      <w:bookmarkStart w:id="54" w:name="_Toc104122360"/>
      <w:bookmarkStart w:id="55" w:name="_Toc94170356"/>
      <w:bookmarkStart w:id="56" w:name="_Toc87889255"/>
      <w:r>
        <w:rPr>
          <w:rFonts w:cs="Arial"/>
          <w:b w:val="0"/>
          <w:bCs w:val="0"/>
        </w:rPr>
        <w:t>2.5.3</w:t>
      </w:r>
      <w:r>
        <w:rPr>
          <w:rFonts w:cs="Arial"/>
          <w:b w:val="0"/>
          <w:bCs w:val="0"/>
        </w:rPr>
        <w:tab/>
      </w:r>
      <w:r>
        <w:rPr>
          <w:rFonts w:cs="Arial"/>
          <w:b w:val="0"/>
          <w:bCs w:val="0"/>
        </w:rPr>
        <w:t xml:space="preserve">Propagation model between </w:t>
      </w:r>
      <w:r>
        <w:rPr>
          <w:rFonts w:hint="eastAsia" w:cs="Arial"/>
          <w:b w:val="0"/>
          <w:bCs w:val="0"/>
          <w:lang w:val="en-US" w:eastAsia="zh-CN"/>
        </w:rPr>
        <w:t>NTN</w:t>
      </w:r>
      <w:r>
        <w:rPr>
          <w:rFonts w:cs="Arial"/>
          <w:b w:val="0"/>
          <w:bCs w:val="0"/>
        </w:rPr>
        <w:t xml:space="preserve"> </w:t>
      </w:r>
      <w:r>
        <w:rPr>
          <w:rFonts w:hint="eastAsia" w:cs="Arial"/>
          <w:b w:val="0"/>
          <w:bCs w:val="0"/>
          <w:lang w:val="en-US" w:eastAsia="zh-CN"/>
        </w:rPr>
        <w:t>BS</w:t>
      </w:r>
      <w:r>
        <w:rPr>
          <w:rFonts w:cs="Arial"/>
          <w:b w:val="0"/>
          <w:bCs w:val="0"/>
        </w:rPr>
        <w:t xml:space="preserve"> and TN BS</w:t>
      </w:r>
      <w:bookmarkEnd w:id="52"/>
      <w:bookmarkEnd w:id="53"/>
      <w:bookmarkEnd w:id="54"/>
      <w:bookmarkEnd w:id="55"/>
      <w:bookmarkEnd w:id="56"/>
    </w:p>
    <w:p>
      <w:pPr>
        <w:spacing w:after="120"/>
        <w:rPr>
          <w:rFonts w:hint="eastAsia" w:eastAsia="宋体"/>
        </w:rPr>
      </w:pPr>
      <w:r>
        <w:rPr>
          <w:rFonts w:hint="eastAsia" w:eastAsia="宋体"/>
        </w:rPr>
        <w:t xml:space="preserve">Propagation model between </w:t>
      </w:r>
      <w:r>
        <w:rPr>
          <w:rFonts w:hint="eastAsia"/>
          <w:lang w:val="en-US" w:eastAsia="zh-CN"/>
        </w:rPr>
        <w:t>NTN</w:t>
      </w:r>
      <w:r>
        <w:rPr>
          <w:rFonts w:hint="eastAsia" w:eastAsia="宋体"/>
          <w:lang w:val="en-US" w:eastAsia="zh-CN"/>
        </w:rPr>
        <w:t xml:space="preserve"> BS</w:t>
      </w:r>
      <w:r>
        <w:rPr>
          <w:rFonts w:hint="eastAsia" w:eastAsia="宋体"/>
        </w:rPr>
        <w:t xml:space="preserve"> and TN BS should reference to TS 38.811</w:t>
      </w:r>
      <w:r>
        <w:rPr>
          <w:rFonts w:eastAsia="宋体"/>
        </w:rPr>
        <w:t>[5]</w:t>
      </w:r>
      <w:r>
        <w:rPr>
          <w:rFonts w:hint="eastAsia" w:eastAsia="宋体"/>
        </w:rPr>
        <w:t xml:space="preserve"> which is used for DL-UL cross link interference for band</w:t>
      </w:r>
      <w:r>
        <w:rPr>
          <w:rFonts w:hint="eastAsia" w:eastAsia="宋体"/>
          <w:lang w:val="en-US" w:eastAsia="zh-CN"/>
        </w:rPr>
        <w:t xml:space="preserve"> n1</w:t>
      </w:r>
      <w:r>
        <w:rPr>
          <w:rFonts w:hint="eastAsia" w:eastAsia="宋体"/>
        </w:rPr>
        <w:t>.</w:t>
      </w:r>
    </w:p>
    <w:p>
      <w:pPr>
        <w:pStyle w:val="4"/>
        <w:keepNext/>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2"/>
        <w:rPr>
          <w:rFonts w:hint="default" w:eastAsia="宋体" w:cs="Arial"/>
          <w:b w:val="0"/>
          <w:bCs w:val="0"/>
          <w:lang w:val="en-US" w:eastAsia="zh-CN"/>
        </w:rPr>
      </w:pPr>
      <w:r>
        <w:rPr>
          <w:rFonts w:cs="Arial"/>
          <w:b w:val="0"/>
          <w:bCs w:val="0"/>
        </w:rPr>
        <w:t>2.5.</w:t>
      </w:r>
      <w:r>
        <w:rPr>
          <w:rFonts w:hint="eastAsia" w:cs="Arial"/>
          <w:b w:val="0"/>
          <w:bCs w:val="0"/>
          <w:lang w:val="en-US" w:eastAsia="zh-CN"/>
        </w:rPr>
        <w:t>4</w:t>
      </w:r>
      <w:r>
        <w:rPr>
          <w:rFonts w:cs="Arial"/>
          <w:b w:val="0"/>
          <w:bCs w:val="0"/>
        </w:rPr>
        <w:tab/>
      </w:r>
      <w:r>
        <w:rPr>
          <w:rFonts w:cs="Arial"/>
          <w:b w:val="0"/>
          <w:bCs w:val="0"/>
        </w:rPr>
        <w:t xml:space="preserve">Propagation model between </w:t>
      </w:r>
      <w:r>
        <w:rPr>
          <w:rFonts w:hint="eastAsia" w:cs="Arial"/>
          <w:b w:val="0"/>
          <w:bCs w:val="0"/>
          <w:lang w:val="en-US" w:eastAsia="zh-CN"/>
        </w:rPr>
        <w:t>NTN</w:t>
      </w:r>
      <w:r>
        <w:rPr>
          <w:rFonts w:cs="Arial"/>
          <w:b w:val="0"/>
          <w:bCs w:val="0"/>
        </w:rPr>
        <w:t xml:space="preserve"> </w:t>
      </w:r>
      <w:r>
        <w:rPr>
          <w:rFonts w:hint="eastAsia" w:cs="Arial"/>
          <w:b w:val="0"/>
          <w:bCs w:val="0"/>
          <w:lang w:val="en-US" w:eastAsia="zh-CN"/>
        </w:rPr>
        <w:t>UE</w:t>
      </w:r>
      <w:r>
        <w:rPr>
          <w:rFonts w:cs="Arial"/>
          <w:b w:val="0"/>
          <w:bCs w:val="0"/>
        </w:rPr>
        <w:t xml:space="preserve"> and TN </w:t>
      </w:r>
      <w:r>
        <w:rPr>
          <w:rFonts w:hint="eastAsia" w:cs="Arial"/>
          <w:b w:val="0"/>
          <w:bCs w:val="0"/>
          <w:lang w:val="en-US" w:eastAsia="zh-CN"/>
        </w:rPr>
        <w:t>UE</w:t>
      </w:r>
    </w:p>
    <w:p>
      <w:pPr>
        <w:spacing w:after="120"/>
        <w:rPr>
          <w:rFonts w:hint="default" w:eastAsia="宋体"/>
          <w:lang w:val="en-US" w:eastAsia="zh-CN"/>
        </w:rPr>
      </w:pPr>
      <w:r>
        <w:rPr>
          <w:rFonts w:hint="eastAsia" w:eastAsia="宋体"/>
        </w:rPr>
        <w:t xml:space="preserve">Propagation model between </w:t>
      </w:r>
      <w:r>
        <w:rPr>
          <w:rFonts w:hint="eastAsia"/>
          <w:lang w:val="en-US" w:eastAsia="zh-CN"/>
        </w:rPr>
        <w:t>NTN</w:t>
      </w:r>
      <w:r>
        <w:rPr>
          <w:rFonts w:hint="eastAsia" w:eastAsia="宋体"/>
          <w:lang w:val="en-US" w:eastAsia="zh-CN"/>
        </w:rPr>
        <w:t xml:space="preserve"> </w:t>
      </w:r>
      <w:r>
        <w:rPr>
          <w:rFonts w:hint="eastAsia"/>
          <w:lang w:val="en-US" w:eastAsia="zh-CN"/>
        </w:rPr>
        <w:t>UE</w:t>
      </w:r>
      <w:r>
        <w:rPr>
          <w:rFonts w:hint="eastAsia" w:eastAsia="宋体"/>
        </w:rPr>
        <w:t xml:space="preserve"> and TN </w:t>
      </w:r>
      <w:r>
        <w:rPr>
          <w:rFonts w:hint="eastAsia"/>
          <w:lang w:val="en-US" w:eastAsia="zh-CN"/>
        </w:rPr>
        <w:t>UE</w:t>
      </w:r>
      <w:r>
        <w:rPr>
          <w:rFonts w:hint="eastAsia" w:eastAsia="宋体"/>
        </w:rPr>
        <w:t xml:space="preserve"> should reference to </w:t>
      </w:r>
      <w:r>
        <w:rPr>
          <w:rFonts w:hint="eastAsia"/>
          <w:lang w:val="en-US" w:eastAsia="zh-CN"/>
        </w:rPr>
        <w:t>the following propagation model,</w:t>
      </w:r>
    </w:p>
    <w:p>
      <w:pPr>
        <w:spacing w:after="120"/>
        <w:rPr>
          <w:rFonts w:hint="eastAsia" w:eastAsia="宋体"/>
        </w:rPr>
      </w:pPr>
      <w:r>
        <w:tab/>
      </w:r>
      <w:r>
        <w:t xml:space="preserve">- </w:t>
      </w:r>
      <w:r>
        <w:rPr>
          <w:rFonts w:hint="eastAsia"/>
        </w:rPr>
        <w:t>UE-to-UE: UMi (h_BS=1.5</w:t>
      </w:r>
      <w:r>
        <w:t> </w:t>
      </w:r>
      <w:r>
        <w:rPr>
          <w:rFonts w:hint="eastAsia"/>
        </w:rPr>
        <w:t>m ~ 22.5</w:t>
      </w:r>
      <w:r>
        <w:t> </w:t>
      </w:r>
      <w:r>
        <w:rPr>
          <w:rFonts w:hint="eastAsia"/>
        </w:rPr>
        <w:t>m)</w:t>
      </w:r>
      <w:r>
        <w:t xml:space="preserve"> </w:t>
      </w:r>
      <w:r>
        <w:br w:type="textWrapping"/>
      </w:r>
      <w:r>
        <w:tab/>
      </w:r>
      <w:r>
        <w:t xml:space="preserve">  + penetration loss see TR 38.803 [5]</w:t>
      </w:r>
    </w:p>
    <w:p>
      <w:pPr>
        <w:keepNext w:val="0"/>
        <w:keepLines w:val="0"/>
        <w:pageBreakBefore w:val="0"/>
        <w:widowControl w:val="0"/>
        <w:kinsoku/>
        <w:wordWrap/>
        <w:overflowPunct/>
        <w:topLinePunct w:val="0"/>
        <w:autoSpaceDE/>
        <w:autoSpaceDN/>
        <w:bidi w:val="0"/>
        <w:adjustRightInd/>
        <w:snapToGrid/>
        <w:textAlignment w:val="auto"/>
        <w:outlineLvl w:val="1"/>
        <w:rPr>
          <w:rFonts w:hint="eastAsia" w:ascii="Arial" w:hAnsi="Arial" w:cs="Arial"/>
          <w:sz w:val="28"/>
          <w:szCs w:val="28"/>
          <w:lang w:val="en-US" w:eastAsia="zh-CN"/>
        </w:rPr>
      </w:pPr>
      <w:bookmarkStart w:id="57" w:name="_Toc104210168"/>
      <w:bookmarkStart w:id="58" w:name="_Toc104502880"/>
      <w:bookmarkStart w:id="59" w:name="_Toc104122362"/>
      <w:bookmarkStart w:id="60" w:name="_Toc87889257"/>
      <w:bookmarkStart w:id="61" w:name="_Toc94170358"/>
      <w:r>
        <w:rPr>
          <w:rFonts w:hint="eastAsia" w:ascii="Arial" w:hAnsi="Arial" w:cs="Arial"/>
          <w:sz w:val="28"/>
          <w:szCs w:val="28"/>
          <w:lang w:val="en-US" w:eastAsia="zh-CN"/>
        </w:rPr>
        <w:t>2.6.</w:t>
      </w:r>
      <w:bookmarkStart w:id="62" w:name="_Toc494384421"/>
      <w:r>
        <w:rPr>
          <w:rFonts w:hint="eastAsia" w:ascii="Arial" w:hAnsi="Arial" w:cs="Arial"/>
          <w:sz w:val="28"/>
          <w:szCs w:val="28"/>
          <w:lang w:val="en-US" w:eastAsia="zh-CN"/>
        </w:rPr>
        <w:t xml:space="preserve"> Transmission power control model</w:t>
      </w:r>
      <w:bookmarkEnd w:id="57"/>
      <w:bookmarkEnd w:id="58"/>
      <w:bookmarkEnd w:id="59"/>
      <w:bookmarkEnd w:id="60"/>
      <w:bookmarkEnd w:id="61"/>
      <w:bookmarkEnd w:id="62"/>
    </w:p>
    <w:p>
      <w:pPr>
        <w:pStyle w:val="4"/>
        <w:keepNext/>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2"/>
        <w:rPr>
          <w:rFonts w:cs="Arial"/>
          <w:b w:val="0"/>
          <w:bCs w:val="0"/>
          <w:lang w:val="sv-SE"/>
        </w:rPr>
      </w:pPr>
      <w:bookmarkStart w:id="63" w:name="_Toc94170359"/>
      <w:bookmarkStart w:id="64" w:name="_Toc87889258"/>
      <w:bookmarkStart w:id="65" w:name="_Toc104122363"/>
      <w:bookmarkStart w:id="66" w:name="_Toc104210169"/>
      <w:bookmarkStart w:id="67" w:name="_Toc104502881"/>
      <w:r>
        <w:rPr>
          <w:rFonts w:cs="Arial"/>
          <w:b w:val="0"/>
          <w:bCs w:val="0"/>
        </w:rPr>
        <w:t>2.6.1</w:t>
      </w:r>
      <w:r>
        <w:rPr>
          <w:rFonts w:cs="Arial"/>
          <w:b w:val="0"/>
          <w:bCs w:val="0"/>
        </w:rPr>
        <w:tab/>
      </w:r>
      <w:r>
        <w:rPr>
          <w:rFonts w:hint="eastAsia" w:cs="Arial"/>
          <w:b w:val="0"/>
          <w:bCs w:val="0"/>
          <w:lang w:val="en-US" w:eastAsia="zh-CN"/>
        </w:rPr>
        <w:t>N</w:t>
      </w:r>
      <w:r>
        <w:rPr>
          <w:rFonts w:cs="Arial"/>
          <w:b w:val="0"/>
          <w:bCs w:val="0"/>
        </w:rPr>
        <w:t>TN</w:t>
      </w:r>
      <w:r>
        <w:rPr>
          <w:rFonts w:hint="eastAsia" w:cs="Arial"/>
          <w:b w:val="0"/>
          <w:bCs w:val="0"/>
          <w:lang w:val="en-US" w:eastAsia="zh-CN"/>
        </w:rPr>
        <w:t xml:space="preserve"> and TN</w:t>
      </w:r>
      <w:r>
        <w:rPr>
          <w:rFonts w:cs="Arial"/>
          <w:b w:val="0"/>
          <w:bCs w:val="0"/>
        </w:rPr>
        <w:t xml:space="preserve"> UL TPC</w:t>
      </w:r>
      <w:bookmarkEnd w:id="63"/>
      <w:bookmarkEnd w:id="64"/>
      <w:bookmarkEnd w:id="65"/>
      <w:bookmarkEnd w:id="66"/>
      <w:bookmarkEnd w:id="67"/>
    </w:p>
    <w:p>
      <w:pPr>
        <w:rPr>
          <w:rFonts w:eastAsia="MS Mincho"/>
          <w:lang w:eastAsia="ja-JP"/>
        </w:rPr>
      </w:pPr>
      <w:r>
        <w:rPr>
          <w:rFonts w:eastAsia="MS Mincho"/>
          <w:lang w:eastAsia="ja-JP"/>
        </w:rPr>
        <w:t>For uplink scenario, TPC model specified in Section 9.1 TR 36.942</w:t>
      </w:r>
      <w:r>
        <w:rPr>
          <w:color w:val="000000"/>
          <w:szCs w:val="18"/>
        </w:rPr>
        <w:t>[8]</w:t>
      </w:r>
      <w:r>
        <w:rPr>
          <w:rFonts w:eastAsia="MS Mincho"/>
          <w:lang w:eastAsia="ja-JP"/>
        </w:rPr>
        <w:t xml:space="preserve"> </w:t>
      </w:r>
      <w:r>
        <w:rPr>
          <w:rFonts w:eastAsia="等线"/>
        </w:rPr>
        <w:t>is</w:t>
      </w:r>
      <w:r>
        <w:rPr>
          <w:rFonts w:hint="eastAsia" w:eastAsia="等线"/>
        </w:rPr>
        <w:t xml:space="preserve"> </w:t>
      </w:r>
      <w:r>
        <w:rPr>
          <w:rFonts w:eastAsia="MS Mincho"/>
          <w:lang w:eastAsia="ja-JP"/>
        </w:rPr>
        <w:t>applied for TN with following parameters.</w:t>
      </w:r>
    </w:p>
    <w:p>
      <w:pPr>
        <w:pStyle w:val="44"/>
        <w:jc w:val="center"/>
      </w:pPr>
      <w:r>
        <w:object>
          <v:shape id="_x0000_i1035" o:spt="75" type="#_x0000_t75" style="height:43pt;width:180pt;" o:ole="t" fillcolor="#00CC99" filled="f" o:preferrelative="t" stroked="f" coordsize="21600,21600">
            <v:path/>
            <v:fill on="f" focussize="0,0"/>
            <v:stroke on="f" joinstyle="miter"/>
            <v:imagedata r:id="rId27" o:title=""/>
            <o:lock v:ext="edit" aspectratio="t"/>
            <w10:wrap type="none"/>
            <w10:anchorlock/>
          </v:shape>
          <o:OLEObject Type="Embed" ProgID="Equation.3" ShapeID="_x0000_i1035" DrawAspect="Content" ObjectID="_1468075735" r:id="rId26">
            <o:LockedField>false</o:LockedField>
          </o:OLEObject>
        </w:object>
      </w:r>
    </w:p>
    <w:p>
      <w:r>
        <w:t xml:space="preserve">where: </w:t>
      </w:r>
    </w:p>
    <w:p>
      <w:pPr>
        <w:pStyle w:val="51"/>
      </w:pPr>
      <w:r>
        <w:t>-</w:t>
      </w:r>
      <w:r>
        <w:tab/>
      </w:r>
      <w:r>
        <w:t>P</w:t>
      </w:r>
      <w:r>
        <w:rPr>
          <w:vertAlign w:val="subscript"/>
        </w:rPr>
        <w:t>max</w:t>
      </w:r>
      <w:r>
        <w:t xml:space="preserve"> = 2</w:t>
      </w:r>
      <w:r>
        <w:rPr>
          <w:rFonts w:hint="eastAsia"/>
        </w:rPr>
        <w:t>3</w:t>
      </w:r>
      <w:r>
        <w:t xml:space="preserve">dBm, </w:t>
      </w:r>
    </w:p>
    <w:p>
      <w:pPr>
        <w:pStyle w:val="51"/>
      </w:pPr>
      <w:r>
        <w:t>-</w:t>
      </w:r>
      <w:r>
        <w:tab/>
      </w:r>
      <w:r>
        <w:t>R</w:t>
      </w:r>
      <w:r>
        <w:rPr>
          <w:vertAlign w:val="subscript"/>
        </w:rPr>
        <w:t>min</w:t>
      </w:r>
      <w:r>
        <w:t xml:space="preserve"> = </w:t>
      </w:r>
      <w:r>
        <w:rPr>
          <w:rFonts w:hint="eastAsia"/>
        </w:rPr>
        <w:t xml:space="preserve">TBD </w:t>
      </w:r>
      <w:r>
        <w:t xml:space="preserve">dB, </w:t>
      </w:r>
    </w:p>
    <w:p>
      <w:pPr>
        <w:pStyle w:val="51"/>
      </w:pPr>
      <w:r>
        <w:t>-</w:t>
      </w:r>
      <w:r>
        <w:tab/>
      </w:r>
      <w:r>
        <w:t>CL</w:t>
      </w:r>
      <w:r>
        <w:rPr>
          <w:vertAlign w:val="subscript"/>
        </w:rPr>
        <w:t>x-ile</w:t>
      </w:r>
      <w:r>
        <w:t xml:space="preserve"> and γ are set</w:t>
      </w:r>
      <w:r>
        <w:rPr>
          <w:rFonts w:hint="eastAsia"/>
        </w:rPr>
        <w:t xml:space="preserve"> as following</w:t>
      </w:r>
      <w:r>
        <w:t>:</w:t>
      </w:r>
    </w:p>
    <w:p>
      <w:pPr>
        <w:pStyle w:val="98"/>
        <w:rPr>
          <w:lang w:eastAsia="ja-JP"/>
        </w:rPr>
      </w:pPr>
      <w:r>
        <w:rPr>
          <w:lang w:val="sv-SE"/>
        </w:rPr>
        <w:t>-</w:t>
      </w:r>
      <w:r>
        <w:rPr>
          <w:lang w:val="sv-SE"/>
        </w:rPr>
        <w:tab/>
      </w:r>
      <w:r>
        <w:rPr>
          <w:lang w:val="sv-SE"/>
        </w:rPr>
        <w:t>CL</w:t>
      </w:r>
      <w:r>
        <w:rPr>
          <w:vertAlign w:val="subscript"/>
          <w:lang w:val="sv-SE"/>
        </w:rPr>
        <w:t>x-ile</w:t>
      </w:r>
      <w:r>
        <w:rPr>
          <w:lang w:val="sv-SE"/>
        </w:rPr>
        <w:t xml:space="preserve"> </w:t>
      </w:r>
      <w:r>
        <w:rPr>
          <w:lang w:val="sv-SE" w:eastAsia="ja-JP"/>
        </w:rPr>
        <w:t>= 88 + 10*log</w:t>
      </w:r>
      <w:r>
        <w:rPr>
          <w:vertAlign w:val="subscript"/>
          <w:lang w:val="sv-SE" w:eastAsia="ja-JP"/>
        </w:rPr>
        <w:t>10</w:t>
      </w:r>
      <w:r>
        <w:rPr>
          <w:rFonts w:eastAsia="等线"/>
          <w:vertAlign w:val="subscript"/>
          <w:lang w:val="sv-SE"/>
        </w:rPr>
        <w:t xml:space="preserve"> </w:t>
      </w:r>
      <w:r>
        <w:rPr>
          <w:lang w:val="sv-SE" w:eastAsia="ja-JP"/>
        </w:rPr>
        <w:t xml:space="preserve">(200/X) + 11 – Y, </w:t>
      </w:r>
      <w:r>
        <w:rPr>
          <w:lang w:eastAsia="ja-JP"/>
        </w:rPr>
        <w:t>where X is UL transmission BW (MHz) and Y is the BS noise figure</w:t>
      </w:r>
    </w:p>
    <w:p>
      <w:pPr>
        <w:pStyle w:val="98"/>
        <w:rPr>
          <w:lang w:eastAsia="ja-JP"/>
        </w:rPr>
      </w:pPr>
      <w:r>
        <w:t>-</w:t>
      </w:r>
      <w:r>
        <w:tab/>
      </w:r>
      <w:r>
        <w:t>γ</w:t>
      </w:r>
      <w:r>
        <w:rPr>
          <w:lang w:eastAsia="ja-JP"/>
        </w:rPr>
        <w:t xml:space="preserve"> = 1For uplink scenario, </w:t>
      </w:r>
    </w:p>
    <w:p>
      <w:pPr>
        <w:pStyle w:val="4"/>
        <w:keepNext/>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2"/>
        <w:rPr>
          <w:rFonts w:cs="Arial"/>
          <w:b w:val="0"/>
          <w:bCs w:val="0"/>
          <w:lang w:val="sv-SE"/>
        </w:rPr>
      </w:pPr>
      <w:bookmarkStart w:id="68" w:name="_Toc87889259"/>
      <w:bookmarkStart w:id="69" w:name="_Toc94170360"/>
      <w:bookmarkStart w:id="70" w:name="_Toc104502882"/>
      <w:bookmarkStart w:id="71" w:name="_Toc104210170"/>
      <w:bookmarkStart w:id="72" w:name="_Toc104122364"/>
      <w:r>
        <w:rPr>
          <w:rFonts w:cs="Arial"/>
          <w:b w:val="0"/>
          <w:bCs w:val="0"/>
        </w:rPr>
        <w:t>2.6.2</w:t>
      </w:r>
      <w:r>
        <w:rPr>
          <w:rFonts w:cs="Arial"/>
          <w:b w:val="0"/>
          <w:bCs w:val="0"/>
        </w:rPr>
        <w:tab/>
      </w:r>
      <w:r>
        <w:rPr>
          <w:rFonts w:hint="eastAsia" w:cs="Arial"/>
          <w:b w:val="0"/>
          <w:bCs w:val="0"/>
          <w:lang w:val="en-US" w:eastAsia="zh-CN"/>
        </w:rPr>
        <w:t>NTN and TN</w:t>
      </w:r>
      <w:r>
        <w:rPr>
          <w:rFonts w:cs="Arial"/>
          <w:b w:val="0"/>
          <w:bCs w:val="0"/>
        </w:rPr>
        <w:t xml:space="preserve"> UL TPC</w:t>
      </w:r>
      <w:bookmarkEnd w:id="68"/>
      <w:bookmarkEnd w:id="69"/>
      <w:bookmarkEnd w:id="70"/>
      <w:bookmarkEnd w:id="71"/>
      <w:bookmarkEnd w:id="72"/>
    </w:p>
    <w:p>
      <w:pPr>
        <w:rPr>
          <w:lang w:val="sv-SE"/>
        </w:rPr>
      </w:pPr>
      <w:r>
        <w:rPr>
          <w:lang w:val="sv-SE"/>
        </w:rPr>
        <w:t xml:space="preserve">For the coexistence study, the same TPC model of TN for </w:t>
      </w:r>
      <w:r>
        <w:rPr>
          <w:rFonts w:hint="eastAsia"/>
          <w:lang w:val="en-US" w:eastAsia="zh-CN"/>
        </w:rPr>
        <w:t>NTN</w:t>
      </w:r>
      <w:r>
        <w:rPr>
          <w:lang w:val="sv-SE"/>
        </w:rPr>
        <w:t xml:space="preserve"> UL scenarios is adopted</w:t>
      </w:r>
    </w:p>
    <w:p>
      <w:pPr>
        <w:pStyle w:val="4"/>
        <w:keepNext/>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2"/>
        <w:rPr>
          <w:rFonts w:cs="Arial"/>
          <w:b w:val="0"/>
          <w:bCs w:val="0"/>
          <w:lang w:val="sv-SE"/>
        </w:rPr>
      </w:pPr>
      <w:bookmarkStart w:id="73" w:name="_Toc87889260"/>
      <w:bookmarkStart w:id="74" w:name="_Toc104210171"/>
      <w:bookmarkStart w:id="75" w:name="_Toc104502883"/>
      <w:bookmarkStart w:id="76" w:name="_Toc104122365"/>
      <w:bookmarkStart w:id="77" w:name="_Toc94170361"/>
      <w:r>
        <w:rPr>
          <w:rFonts w:cs="Arial"/>
          <w:b w:val="0"/>
          <w:bCs w:val="0"/>
        </w:rPr>
        <w:t>2.6.3</w:t>
      </w:r>
      <w:r>
        <w:rPr>
          <w:rFonts w:cs="Arial"/>
          <w:b w:val="0"/>
          <w:bCs w:val="0"/>
        </w:rPr>
        <w:tab/>
      </w:r>
      <w:r>
        <w:rPr>
          <w:rFonts w:hint="eastAsia" w:cs="Arial"/>
          <w:b w:val="0"/>
          <w:bCs w:val="0"/>
          <w:lang w:val="en-US" w:eastAsia="zh-CN"/>
        </w:rPr>
        <w:t>NTN and TN</w:t>
      </w:r>
      <w:r>
        <w:rPr>
          <w:rFonts w:cs="Arial"/>
          <w:b w:val="0"/>
          <w:bCs w:val="0"/>
        </w:rPr>
        <w:t xml:space="preserve"> DL TPC</w:t>
      </w:r>
      <w:bookmarkEnd w:id="73"/>
      <w:bookmarkEnd w:id="74"/>
      <w:bookmarkEnd w:id="75"/>
      <w:bookmarkEnd w:id="76"/>
      <w:bookmarkEnd w:id="77"/>
    </w:p>
    <w:p>
      <w:pPr>
        <w:rPr>
          <w:lang w:val="sv-SE"/>
        </w:rPr>
      </w:pPr>
      <w:r>
        <w:rPr>
          <w:lang w:val="sv-SE"/>
        </w:rPr>
        <w:t>For downlink scenario, no power control scheme is applied.</w:t>
      </w:r>
    </w:p>
    <w:p>
      <w:pPr>
        <w:keepNext w:val="0"/>
        <w:keepLines w:val="0"/>
        <w:pageBreakBefore w:val="0"/>
        <w:widowControl w:val="0"/>
        <w:kinsoku/>
        <w:wordWrap/>
        <w:overflowPunct/>
        <w:topLinePunct w:val="0"/>
        <w:autoSpaceDE/>
        <w:autoSpaceDN/>
        <w:bidi w:val="0"/>
        <w:adjustRightInd/>
        <w:snapToGrid/>
        <w:textAlignment w:val="auto"/>
        <w:outlineLvl w:val="1"/>
        <w:rPr>
          <w:rFonts w:hint="eastAsia" w:ascii="Arial" w:hAnsi="Arial" w:cs="Arial"/>
          <w:sz w:val="28"/>
          <w:szCs w:val="28"/>
          <w:lang w:val="en-US" w:eastAsia="zh-CN"/>
        </w:rPr>
      </w:pPr>
      <w:bookmarkStart w:id="78" w:name="_Toc104122368"/>
      <w:bookmarkStart w:id="79" w:name="_Toc94170362"/>
      <w:bookmarkStart w:id="80" w:name="_Toc87889261"/>
      <w:bookmarkStart w:id="81" w:name="_Toc104502886"/>
      <w:bookmarkStart w:id="82" w:name="_Toc104210174"/>
      <w:r>
        <w:rPr>
          <w:rFonts w:hint="eastAsia" w:ascii="Arial" w:hAnsi="Arial" w:cs="Arial"/>
          <w:sz w:val="28"/>
          <w:szCs w:val="28"/>
          <w:lang w:val="en-US" w:eastAsia="zh-CN"/>
        </w:rPr>
        <w:t>2.7. Received power model</w:t>
      </w:r>
      <w:bookmarkEnd w:id="78"/>
      <w:bookmarkEnd w:id="79"/>
      <w:bookmarkEnd w:id="80"/>
      <w:bookmarkEnd w:id="81"/>
      <w:bookmarkEnd w:id="82"/>
    </w:p>
    <w:p>
      <w:r>
        <w:t>The received power in downlink and uplink scenarios is defined as below:</w:t>
      </w:r>
    </w:p>
    <w:p>
      <w:pPr>
        <w:pStyle w:val="44"/>
        <w:jc w:val="center"/>
        <w:rPr>
          <w:i/>
        </w:rPr>
      </w:pPr>
      <w:r>
        <w:rPr>
          <w:i/>
        </w:rPr>
        <w:t>RX_PWR = TX_PWR – Path loss + G_TX + G_RX</w:t>
      </w:r>
    </w:p>
    <w:p>
      <w:r>
        <w:rPr>
          <w:rFonts w:hint="eastAsia"/>
          <w:lang w:eastAsia="zh-CN"/>
        </w:rPr>
        <w:t>w</w:t>
      </w:r>
      <w:r>
        <w:t>here:</w:t>
      </w:r>
      <w:r>
        <w:tab/>
      </w:r>
      <w:r>
        <w:tab/>
      </w:r>
      <w:r>
        <w:tab/>
      </w:r>
    </w:p>
    <w:p>
      <w:pPr>
        <w:pStyle w:val="51"/>
      </w:pPr>
      <w:r>
        <w:t>-</w:t>
      </w:r>
      <w:r>
        <w:tab/>
      </w:r>
      <w:r>
        <w:t>RX_PWR is the received power</w:t>
      </w:r>
    </w:p>
    <w:p>
      <w:pPr>
        <w:pStyle w:val="51"/>
      </w:pPr>
      <w:r>
        <w:t>-</w:t>
      </w:r>
      <w:r>
        <w:tab/>
      </w:r>
      <w:r>
        <w:t>TX_PWR is the transmitted power</w:t>
      </w:r>
    </w:p>
    <w:p>
      <w:pPr>
        <w:pStyle w:val="51"/>
      </w:pPr>
      <w:r>
        <w:t>-</w:t>
      </w:r>
      <w:r>
        <w:tab/>
      </w:r>
      <w:r>
        <w:t>G_TX is the transmitter antenna gain (directional array gain)</w:t>
      </w:r>
    </w:p>
    <w:p>
      <w:pPr>
        <w:pStyle w:val="51"/>
      </w:pPr>
      <w:r>
        <w:t>-</w:t>
      </w:r>
      <w:r>
        <w:tab/>
      </w:r>
      <w:r>
        <w:t>G_RX is the receiver antenna gain (directional array gain).</w:t>
      </w:r>
    </w:p>
    <w:p>
      <w:pPr>
        <w:keepNext w:val="0"/>
        <w:keepLines w:val="0"/>
        <w:pageBreakBefore w:val="0"/>
        <w:widowControl w:val="0"/>
        <w:kinsoku/>
        <w:wordWrap/>
        <w:overflowPunct/>
        <w:topLinePunct w:val="0"/>
        <w:autoSpaceDE/>
        <w:autoSpaceDN/>
        <w:bidi w:val="0"/>
        <w:adjustRightInd/>
        <w:snapToGrid/>
        <w:textAlignment w:val="auto"/>
        <w:outlineLvl w:val="1"/>
        <w:rPr>
          <w:rFonts w:hint="eastAsia" w:ascii="Arial" w:hAnsi="Arial" w:cs="Arial"/>
          <w:sz w:val="28"/>
          <w:szCs w:val="28"/>
          <w:lang w:val="en-US" w:eastAsia="zh-CN"/>
        </w:rPr>
      </w:pPr>
      <w:bookmarkStart w:id="83" w:name="_Toc104210175"/>
      <w:bookmarkStart w:id="84" w:name="_Toc104122369"/>
      <w:bookmarkStart w:id="85" w:name="_Toc94170363"/>
      <w:bookmarkStart w:id="86" w:name="_Toc104502887"/>
      <w:bookmarkStart w:id="87" w:name="_Toc87889262"/>
      <w:r>
        <w:rPr>
          <w:rFonts w:hint="eastAsia" w:ascii="Arial" w:hAnsi="Arial" w:cs="Arial"/>
          <w:sz w:val="28"/>
          <w:szCs w:val="28"/>
          <w:lang w:val="en-US" w:eastAsia="zh-CN"/>
        </w:rPr>
        <w:t>2.8. Performance metric</w:t>
      </w:r>
      <w:bookmarkEnd w:id="83"/>
      <w:bookmarkEnd w:id="84"/>
      <w:bookmarkEnd w:id="85"/>
      <w:bookmarkEnd w:id="86"/>
      <w:bookmarkEnd w:id="87"/>
    </w:p>
    <w:p>
      <w:r>
        <w:rPr>
          <w:rFonts w:hint="eastAsia"/>
        </w:rPr>
        <w:t xml:space="preserve">For </w:t>
      </w:r>
      <w:r>
        <w:rPr>
          <w:rFonts w:hint="eastAsia"/>
          <w:lang w:val="en-US" w:eastAsia="zh-CN"/>
        </w:rPr>
        <w:t>TN</w:t>
      </w:r>
      <w:r>
        <w:rPr>
          <w:rFonts w:hint="eastAsia"/>
        </w:rPr>
        <w:t>,</w:t>
      </w:r>
      <w:r>
        <w:t xml:space="preserve"> t</w:t>
      </w:r>
      <w:r>
        <w:rPr>
          <w:rFonts w:hint="eastAsia"/>
        </w:rPr>
        <w:t>he average throughput loss and 5%-ile throughput loss should be less than 5%.</w:t>
      </w:r>
    </w:p>
    <w:p>
      <w:r>
        <w:t>F</w:t>
      </w:r>
      <w:r>
        <w:rPr>
          <w:rFonts w:hint="eastAsia"/>
        </w:rPr>
        <w:t>or</w:t>
      </w:r>
      <w:r>
        <w:rPr>
          <w:rFonts w:hint="eastAsia"/>
          <w:lang w:val="en-US" w:eastAsia="zh-CN"/>
        </w:rPr>
        <w:t xml:space="preserve"> NTN</w:t>
      </w:r>
      <w:r>
        <w:rPr>
          <w:rFonts w:hint="eastAsia"/>
        </w:rPr>
        <w:t>,</w:t>
      </w:r>
      <w:r>
        <w:t xml:space="preserve"> the average throughput loss and 5%-ile throughput loss should be less than 5%.</w:t>
      </w:r>
    </w:p>
    <w:p>
      <w:pPr>
        <w:keepNext w:val="0"/>
        <w:keepLines w:val="0"/>
        <w:pageBreakBefore w:val="0"/>
        <w:widowControl w:val="0"/>
        <w:kinsoku/>
        <w:wordWrap/>
        <w:overflowPunct/>
        <w:topLinePunct w:val="0"/>
        <w:autoSpaceDE/>
        <w:autoSpaceDN/>
        <w:bidi w:val="0"/>
        <w:adjustRightInd/>
        <w:snapToGrid/>
        <w:textAlignment w:val="auto"/>
        <w:outlineLvl w:val="1"/>
        <w:rPr>
          <w:rFonts w:hint="eastAsia" w:ascii="Arial" w:hAnsi="Arial" w:cs="Arial"/>
          <w:sz w:val="28"/>
          <w:szCs w:val="28"/>
          <w:lang w:val="en-US" w:eastAsia="zh-CN"/>
        </w:rPr>
      </w:pPr>
      <w:bookmarkStart w:id="88" w:name="_Toc104502888"/>
      <w:bookmarkStart w:id="89" w:name="_Toc94170364"/>
      <w:bookmarkStart w:id="90" w:name="_Toc104210176"/>
      <w:bookmarkStart w:id="91" w:name="_Toc87889263"/>
      <w:bookmarkStart w:id="92" w:name="_Toc104122370"/>
      <w:r>
        <w:rPr>
          <w:rFonts w:hint="eastAsia" w:ascii="Arial" w:hAnsi="Arial" w:cs="Arial"/>
          <w:sz w:val="28"/>
          <w:szCs w:val="28"/>
          <w:lang w:val="en-US" w:eastAsia="zh-CN"/>
        </w:rPr>
        <w:t>2.9. Throughput ~ SNR mapping</w:t>
      </w:r>
      <w:bookmarkEnd w:id="88"/>
      <w:bookmarkEnd w:id="89"/>
      <w:bookmarkEnd w:id="90"/>
      <w:bookmarkEnd w:id="91"/>
      <w:bookmarkEnd w:id="92"/>
    </w:p>
    <w:p>
      <w:r>
        <w:t xml:space="preserve">The following equations </w:t>
      </w:r>
      <w:r>
        <w:rPr>
          <w:lang w:eastAsia="ja-JP"/>
        </w:rPr>
        <w:t>approximate</w:t>
      </w:r>
      <w:r>
        <w:t xml:space="preserve"> the throughput over a channel with a given</w:t>
      </w:r>
      <w:r>
        <w:rPr>
          <w:rFonts w:hint="eastAsia"/>
          <w:lang w:eastAsia="zh-CN"/>
        </w:rPr>
        <w:t xml:space="preserve"> SNIR</w:t>
      </w:r>
      <w:r>
        <w:t>, when using link adaptation:</w:t>
      </w:r>
    </w:p>
    <w:p>
      <w:pPr>
        <w:rPr>
          <w:rFonts w:eastAsia="MS Mincho" w:cs="Arial"/>
          <w:sz w:val="22"/>
          <w:szCs w:val="22"/>
        </w:rPr>
      </w:pPr>
      <w:r>
        <w:drawing>
          <wp:inline distT="0" distB="0" distL="114300" distR="114300">
            <wp:extent cx="5006340" cy="922020"/>
            <wp:effectExtent l="0" t="0" r="3810" b="11430"/>
            <wp:docPr id="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3"/>
                    <pic:cNvPicPr>
                      <a:picLocks noChangeAspect="1"/>
                    </pic:cNvPicPr>
                  </pic:nvPicPr>
                  <pic:blipFill>
                    <a:blip r:embed="rId28"/>
                    <a:stretch>
                      <a:fillRect/>
                    </a:stretch>
                  </pic:blipFill>
                  <pic:spPr>
                    <a:xfrm>
                      <a:off x="0" y="0"/>
                      <a:ext cx="5006340" cy="922020"/>
                    </a:xfrm>
                    <a:prstGeom prst="rect">
                      <a:avLst/>
                    </a:prstGeom>
                    <a:noFill/>
                    <a:ln>
                      <a:noFill/>
                    </a:ln>
                  </pic:spPr>
                </pic:pic>
              </a:graphicData>
            </a:graphic>
          </wp:inline>
        </w:drawing>
      </w:r>
    </w:p>
    <w:p>
      <w:pPr>
        <w:rPr>
          <w:rFonts w:eastAsia="MS Mincho" w:cs="Arial"/>
          <w:sz w:val="22"/>
          <w:szCs w:val="22"/>
        </w:rPr>
      </w:pPr>
      <w:r>
        <w:rPr>
          <w:rFonts w:eastAsia="MS Mincho" w:cs="Arial"/>
          <w:sz w:val="22"/>
          <w:szCs w:val="22"/>
        </w:rPr>
        <w:t>Where:</w:t>
      </w:r>
      <w:r>
        <w:rPr>
          <w:rFonts w:eastAsia="MS Mincho" w:cs="Arial"/>
          <w:sz w:val="22"/>
          <w:szCs w:val="22"/>
        </w:rPr>
        <w:tab/>
      </w:r>
    </w:p>
    <w:p>
      <w:r>
        <w:rPr>
          <w:rFonts w:eastAsia="MS Mincho" w:cs="Arial"/>
          <w:sz w:val="22"/>
          <w:szCs w:val="22"/>
        </w:rPr>
        <w:t>S(S</w:t>
      </w:r>
      <w:r>
        <w:rPr>
          <w:rFonts w:eastAsia="宋体" w:cs="Arial"/>
          <w:sz w:val="22"/>
          <w:szCs w:val="22"/>
        </w:rPr>
        <w:t>NI</w:t>
      </w:r>
      <w:r>
        <w:rPr>
          <w:rFonts w:eastAsia="MS Mincho" w:cs="Arial"/>
          <w:sz w:val="22"/>
          <w:szCs w:val="22"/>
        </w:rPr>
        <w:t>R)</w:t>
      </w:r>
      <w:r>
        <w:rPr>
          <w:rFonts w:eastAsia="MS Mincho" w:cs="Arial"/>
          <w:sz w:val="22"/>
          <w:szCs w:val="22"/>
        </w:rPr>
        <w:tab/>
      </w:r>
      <w:r>
        <w:rPr>
          <w:rFonts w:eastAsia="MS Mincho" w:cs="Arial"/>
          <w:sz w:val="22"/>
          <w:szCs w:val="22"/>
        </w:rPr>
        <w:t>Shannon bound, S(S</w:t>
      </w:r>
      <w:r>
        <w:rPr>
          <w:rFonts w:eastAsia="宋体" w:cs="Arial"/>
          <w:sz w:val="22"/>
          <w:szCs w:val="22"/>
        </w:rPr>
        <w:t>NI</w:t>
      </w:r>
      <w:r>
        <w:rPr>
          <w:rFonts w:eastAsia="MS Mincho" w:cs="Arial"/>
          <w:sz w:val="22"/>
          <w:szCs w:val="22"/>
        </w:rPr>
        <w:t>R) =log</w:t>
      </w:r>
      <w:r>
        <w:rPr>
          <w:rFonts w:eastAsia="MS Mincho" w:cs="Arial"/>
          <w:sz w:val="22"/>
          <w:szCs w:val="22"/>
          <w:vertAlign w:val="subscript"/>
        </w:rPr>
        <w:t>2</w:t>
      </w:r>
      <w:r>
        <w:rPr>
          <w:rFonts w:eastAsia="MS Mincho" w:cs="Arial"/>
          <w:sz w:val="22"/>
          <w:szCs w:val="22"/>
        </w:rPr>
        <w:t>(1+S</w:t>
      </w:r>
      <w:r>
        <w:rPr>
          <w:rFonts w:eastAsia="宋体" w:cs="Arial"/>
          <w:sz w:val="22"/>
          <w:szCs w:val="22"/>
        </w:rPr>
        <w:t>NI</w:t>
      </w:r>
      <w:r>
        <w:rPr>
          <w:rFonts w:eastAsia="MS Mincho" w:cs="Arial"/>
          <w:sz w:val="22"/>
          <w:szCs w:val="22"/>
        </w:rPr>
        <w:t>R) [bps/Hz]</w:t>
      </w:r>
      <w:r>
        <w:rPr>
          <w:rFonts w:eastAsia="MS Mincho" w:cs="Arial"/>
          <w:sz w:val="22"/>
          <w:szCs w:val="22"/>
          <w:lang w:eastAsia="ja-JP"/>
        </w:rPr>
        <w:br w:type="textWrapping"/>
      </w:r>
      <w:r>
        <w:rPr>
          <w:rFonts w:eastAsia="MS Mincho" w:cs="Arial"/>
          <w:sz w:val="22"/>
          <w:szCs w:val="22"/>
        </w:rPr>
        <w:sym w:font="Symbol" w:char="F061"/>
      </w:r>
      <w:r>
        <w:rPr>
          <w:rFonts w:eastAsia="MS Mincho" w:cs="Arial"/>
          <w:sz w:val="22"/>
          <w:szCs w:val="22"/>
        </w:rPr>
        <w:tab/>
      </w:r>
      <w:r>
        <w:rPr>
          <w:rFonts w:eastAsia="MS Mincho" w:cs="Arial"/>
          <w:sz w:val="22"/>
          <w:szCs w:val="22"/>
        </w:rPr>
        <w:tab/>
      </w:r>
      <w:r>
        <w:rPr>
          <w:rFonts w:eastAsia="MS Mincho" w:cs="Arial"/>
          <w:sz w:val="22"/>
          <w:szCs w:val="22"/>
        </w:rPr>
        <w:t>Attenuation factor, representing implementation losses</w:t>
      </w:r>
      <w:r>
        <w:rPr>
          <w:rFonts w:eastAsia="MS Mincho" w:cs="Arial"/>
          <w:sz w:val="22"/>
          <w:szCs w:val="22"/>
          <w:lang w:eastAsia="ja-JP"/>
        </w:rPr>
        <w:br w:type="textWrapping"/>
      </w:r>
      <w:r>
        <w:t>SNIR</w:t>
      </w:r>
      <w:r>
        <w:rPr>
          <w:vertAlign w:val="subscript"/>
        </w:rPr>
        <w:t>MIN</w:t>
      </w:r>
      <w:r>
        <w:t xml:space="preserve">  </w:t>
      </w:r>
      <w:r>
        <w:tab/>
      </w:r>
      <w:r>
        <w:t>Minimum SN</w:t>
      </w:r>
      <w:r>
        <w:rPr>
          <w:lang w:eastAsia="ja-JP"/>
        </w:rPr>
        <w:t>I</w:t>
      </w:r>
      <w:r>
        <w:t>R of the code</w:t>
      </w:r>
      <w:r>
        <w:rPr>
          <w:rFonts w:hint="eastAsia"/>
          <w:lang w:eastAsia="zh-CN"/>
        </w:rPr>
        <w:t xml:space="preserve"> </w:t>
      </w:r>
      <w:r>
        <w:t>set, dB</w:t>
      </w:r>
      <w:r>
        <w:rPr>
          <w:lang w:eastAsia="ja-JP"/>
        </w:rPr>
        <w:br w:type="textWrapping"/>
      </w:r>
      <w:r>
        <w:t>SN</w:t>
      </w:r>
      <w:r>
        <w:rPr>
          <w:lang w:eastAsia="ja-JP"/>
        </w:rPr>
        <w:t>I</w:t>
      </w:r>
      <w:r>
        <w:t>R</w:t>
      </w:r>
      <w:r>
        <w:rPr>
          <w:vertAlign w:val="subscript"/>
        </w:rPr>
        <w:t>MAX</w:t>
      </w:r>
      <w:r>
        <w:t xml:space="preserve"> </w:t>
      </w:r>
      <w:r>
        <w:tab/>
      </w:r>
      <w:r>
        <w:t>Maximum SN</w:t>
      </w:r>
      <w:r>
        <w:rPr>
          <w:lang w:eastAsia="ja-JP"/>
        </w:rPr>
        <w:t>I</w:t>
      </w:r>
      <w:r>
        <w:t xml:space="preserve">R of the </w:t>
      </w:r>
      <w:r>
        <w:rPr>
          <w:rFonts w:hint="eastAsia"/>
          <w:lang w:eastAsia="zh-CN"/>
        </w:rPr>
        <w:t>code set</w:t>
      </w:r>
      <w:r>
        <w:t>, dB</w:t>
      </w:r>
    </w:p>
    <w:p>
      <w:pPr>
        <w:rPr>
          <w:lang w:eastAsia="zh-CN"/>
        </w:rPr>
      </w:pPr>
    </w:p>
    <w:p>
      <w:pPr>
        <w:rPr>
          <w:sz w:val="22"/>
          <w:szCs w:val="22"/>
        </w:rPr>
      </w:pPr>
      <w:r>
        <w:rPr>
          <w:sz w:val="22"/>
          <w:szCs w:val="22"/>
        </w:rPr>
        <w:t xml:space="preserve">The parameters α, </w:t>
      </w:r>
      <w:r>
        <w:rPr>
          <w:rFonts w:hint="eastAsia"/>
          <w:sz w:val="22"/>
          <w:szCs w:val="22"/>
          <w:lang w:eastAsia="zh-CN"/>
        </w:rPr>
        <w:t>SNIR</w:t>
      </w:r>
      <w:r>
        <w:rPr>
          <w:rFonts w:hint="eastAsia"/>
          <w:sz w:val="22"/>
          <w:szCs w:val="22"/>
          <w:vertAlign w:val="subscript"/>
          <w:lang w:eastAsia="zh-CN"/>
        </w:rPr>
        <w:t xml:space="preserve">MIN </w:t>
      </w:r>
      <w:r>
        <w:rPr>
          <w:sz w:val="22"/>
          <w:szCs w:val="22"/>
        </w:rPr>
        <w:t xml:space="preserve">and </w:t>
      </w:r>
      <w:r>
        <w:rPr>
          <w:rFonts w:hint="eastAsia"/>
          <w:sz w:val="22"/>
          <w:szCs w:val="22"/>
          <w:lang w:eastAsia="zh-CN"/>
        </w:rPr>
        <w:t>SNIR</w:t>
      </w:r>
      <w:r>
        <w:rPr>
          <w:rFonts w:hint="eastAsia"/>
          <w:sz w:val="22"/>
          <w:szCs w:val="22"/>
          <w:vertAlign w:val="subscript"/>
          <w:lang w:eastAsia="zh-CN"/>
        </w:rPr>
        <w:t xml:space="preserve">MAX </w:t>
      </w:r>
      <w:r>
        <w:rPr>
          <w:sz w:val="22"/>
          <w:szCs w:val="22"/>
        </w:rPr>
        <w:t xml:space="preserve">can be chosen to represent different modem implementations and link conditions. </w:t>
      </w:r>
      <w:bookmarkStart w:id="93" w:name="OLE_LINK2"/>
      <w:bookmarkStart w:id="94" w:name="OLE_LINK1"/>
      <w:r>
        <w:rPr>
          <w:sz w:val="22"/>
          <w:szCs w:val="22"/>
        </w:rPr>
        <w:t xml:space="preserve">The parameters proposed in table </w:t>
      </w:r>
      <w:r>
        <w:rPr>
          <w:sz w:val="22"/>
          <w:szCs w:val="22"/>
          <w:lang w:eastAsia="ja-JP"/>
        </w:rPr>
        <w:t>2</w:t>
      </w:r>
      <w:r>
        <w:rPr>
          <w:sz w:val="22"/>
          <w:szCs w:val="22"/>
          <w:lang w:eastAsia="zh-CN"/>
        </w:rPr>
        <w:t xml:space="preserve"> </w:t>
      </w:r>
      <w:r>
        <w:rPr>
          <w:sz w:val="22"/>
          <w:szCs w:val="22"/>
        </w:rPr>
        <w:t xml:space="preserve">represent </w:t>
      </w:r>
      <w:bookmarkEnd w:id="93"/>
      <w:bookmarkEnd w:id="94"/>
      <w:r>
        <w:rPr>
          <w:sz w:val="22"/>
          <w:szCs w:val="22"/>
        </w:rPr>
        <w:t xml:space="preserve">a baseline case, which assumes: </w:t>
      </w:r>
    </w:p>
    <w:p>
      <w:pPr>
        <w:numPr>
          <w:ilvl w:val="0"/>
          <w:numId w:val="3"/>
        </w:numPr>
        <w:overflowPunct/>
        <w:autoSpaceDE/>
        <w:autoSpaceDN/>
        <w:adjustRightInd/>
        <w:textAlignment w:val="auto"/>
        <w:rPr>
          <w:rFonts w:eastAsia="宋体" w:cs="Arial"/>
          <w:sz w:val="22"/>
          <w:szCs w:val="22"/>
        </w:rPr>
      </w:pPr>
      <w:r>
        <w:rPr>
          <w:rFonts w:eastAsia="宋体" w:cs="Arial"/>
          <w:sz w:val="22"/>
          <w:szCs w:val="22"/>
        </w:rPr>
        <w:t>1:1 antenna configurations</w:t>
      </w:r>
    </w:p>
    <w:p>
      <w:pPr>
        <w:numPr>
          <w:ilvl w:val="0"/>
          <w:numId w:val="3"/>
        </w:numPr>
        <w:overflowPunct/>
        <w:autoSpaceDE/>
        <w:autoSpaceDN/>
        <w:adjustRightInd/>
        <w:textAlignment w:val="auto"/>
        <w:rPr>
          <w:rFonts w:eastAsia="宋体" w:cs="Arial"/>
          <w:sz w:val="22"/>
          <w:szCs w:val="22"/>
        </w:rPr>
      </w:pPr>
      <w:r>
        <w:rPr>
          <w:rFonts w:eastAsia="宋体" w:cs="Arial"/>
          <w:sz w:val="22"/>
          <w:szCs w:val="22"/>
        </w:rPr>
        <w:t xml:space="preserve">AWGN channel model </w:t>
      </w:r>
    </w:p>
    <w:p>
      <w:pPr>
        <w:numPr>
          <w:ilvl w:val="0"/>
          <w:numId w:val="3"/>
        </w:numPr>
        <w:overflowPunct/>
        <w:autoSpaceDE/>
        <w:autoSpaceDN/>
        <w:adjustRightInd/>
        <w:textAlignment w:val="auto"/>
        <w:rPr>
          <w:rFonts w:eastAsia="宋体" w:cs="Arial"/>
          <w:sz w:val="22"/>
          <w:szCs w:val="22"/>
        </w:rPr>
      </w:pPr>
      <w:r>
        <w:rPr>
          <w:rFonts w:eastAsia="宋体" w:cs="Arial"/>
          <w:sz w:val="22"/>
          <w:szCs w:val="22"/>
        </w:rPr>
        <w:t xml:space="preserve">Link Adaptation (see </w:t>
      </w:r>
      <w:r>
        <w:rPr>
          <w:sz w:val="22"/>
          <w:szCs w:val="22"/>
        </w:rPr>
        <w:t xml:space="preserve">table </w:t>
      </w:r>
      <w:r>
        <w:rPr>
          <w:sz w:val="22"/>
          <w:szCs w:val="22"/>
          <w:lang w:eastAsia="ja-JP"/>
        </w:rPr>
        <w:t>2</w:t>
      </w:r>
      <w:r>
        <w:rPr>
          <w:rFonts w:eastAsia="宋体" w:cs="Arial"/>
          <w:sz w:val="22"/>
          <w:szCs w:val="22"/>
        </w:rPr>
        <w:t xml:space="preserve"> for details of the highest and lowest rate codes)</w:t>
      </w:r>
    </w:p>
    <w:p>
      <w:pPr>
        <w:numPr>
          <w:ilvl w:val="0"/>
          <w:numId w:val="3"/>
        </w:numPr>
        <w:overflowPunct/>
        <w:autoSpaceDE/>
        <w:autoSpaceDN/>
        <w:adjustRightInd/>
        <w:textAlignment w:val="auto"/>
        <w:rPr>
          <w:rFonts w:eastAsia="宋体" w:cs="Arial"/>
          <w:sz w:val="22"/>
          <w:szCs w:val="22"/>
        </w:rPr>
      </w:pPr>
      <w:r>
        <w:rPr>
          <w:rFonts w:eastAsia="宋体" w:cs="Arial"/>
          <w:sz w:val="22"/>
          <w:szCs w:val="22"/>
        </w:rPr>
        <w:t>No HARQ</w:t>
      </w:r>
    </w:p>
    <w:p>
      <w:pPr>
        <w:pStyle w:val="11"/>
        <w:jc w:val="center"/>
        <w:rPr>
          <w:rFonts w:eastAsia="宋体"/>
        </w:rPr>
      </w:pPr>
      <w:r>
        <w:t xml:space="preserve">Table 2: </w:t>
      </w:r>
      <w:r>
        <w:rPr>
          <w:rFonts w:eastAsia="MS Mincho"/>
        </w:rPr>
        <w:t>Parameters describing baseline Link Level performance for</w:t>
      </w:r>
      <w:r>
        <w:t xml:space="preserve"> </w:t>
      </w:r>
      <w:r>
        <w:rPr>
          <w:rFonts w:eastAsia="MS Mincho"/>
        </w:rPr>
        <w:t>5G NR</w:t>
      </w:r>
    </w:p>
    <w:tbl>
      <w:tblPr>
        <w:tblStyle w:val="24"/>
        <w:tblW w:w="7254"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1423"/>
        <w:gridCol w:w="525"/>
        <w:gridCol w:w="525"/>
        <w:gridCol w:w="4781"/>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68" w:hRule="atLeast"/>
          <w:jc w:val="center"/>
        </w:trPr>
        <w:tc>
          <w:tcPr>
            <w:tcW w:w="0" w:type="auto"/>
            <w:noWrap/>
            <w:vAlign w:val="bottom"/>
          </w:tcPr>
          <w:p>
            <w:pPr>
              <w:keepNext/>
              <w:keepLines/>
              <w:jc w:val="center"/>
              <w:rPr>
                <w:rFonts w:eastAsia="MS Mincho" w:cs="Arial"/>
                <w:b/>
                <w:sz w:val="22"/>
                <w:szCs w:val="22"/>
                <w:lang w:bidi="he-IL"/>
              </w:rPr>
            </w:pPr>
            <w:r>
              <w:rPr>
                <w:rFonts w:eastAsia="MS Mincho" w:cs="Arial"/>
                <w:b/>
                <w:sz w:val="22"/>
                <w:szCs w:val="22"/>
                <w:lang w:bidi="he-IL"/>
              </w:rPr>
              <w:t xml:space="preserve">Parameter </w:t>
            </w:r>
          </w:p>
        </w:tc>
        <w:tc>
          <w:tcPr>
            <w:tcW w:w="0" w:type="auto"/>
            <w:vAlign w:val="bottom"/>
          </w:tcPr>
          <w:p>
            <w:pPr>
              <w:keepNext/>
              <w:keepLines/>
              <w:jc w:val="center"/>
              <w:rPr>
                <w:rFonts w:eastAsia="MS Mincho" w:cs="Arial"/>
                <w:b/>
                <w:sz w:val="22"/>
                <w:szCs w:val="22"/>
                <w:lang w:bidi="he-IL"/>
              </w:rPr>
            </w:pPr>
            <w:r>
              <w:rPr>
                <w:rFonts w:eastAsia="MS Mincho" w:cs="Arial"/>
                <w:b/>
                <w:sz w:val="22"/>
                <w:szCs w:val="22"/>
                <w:lang w:bidi="he-IL"/>
              </w:rPr>
              <w:t xml:space="preserve">DL </w:t>
            </w:r>
          </w:p>
        </w:tc>
        <w:tc>
          <w:tcPr>
            <w:tcW w:w="0" w:type="auto"/>
            <w:vAlign w:val="bottom"/>
          </w:tcPr>
          <w:p>
            <w:pPr>
              <w:keepNext/>
              <w:keepLines/>
              <w:jc w:val="center"/>
              <w:rPr>
                <w:rFonts w:eastAsia="MS Mincho" w:cs="Arial"/>
                <w:b/>
                <w:sz w:val="22"/>
                <w:szCs w:val="22"/>
                <w:lang w:bidi="he-IL"/>
              </w:rPr>
            </w:pPr>
            <w:r>
              <w:rPr>
                <w:rFonts w:eastAsia="MS Mincho" w:cs="Arial"/>
                <w:b/>
                <w:sz w:val="22"/>
                <w:szCs w:val="22"/>
                <w:lang w:bidi="he-IL"/>
              </w:rPr>
              <w:t xml:space="preserve">UL </w:t>
            </w:r>
          </w:p>
        </w:tc>
        <w:tc>
          <w:tcPr>
            <w:tcW w:w="0" w:type="auto"/>
            <w:noWrap/>
            <w:vAlign w:val="bottom"/>
          </w:tcPr>
          <w:p>
            <w:pPr>
              <w:keepNext/>
              <w:keepLines/>
              <w:jc w:val="center"/>
              <w:rPr>
                <w:rFonts w:eastAsia="MS Mincho" w:cs="Arial"/>
                <w:b/>
                <w:sz w:val="22"/>
                <w:szCs w:val="22"/>
                <w:lang w:bidi="he-IL"/>
              </w:rPr>
            </w:pPr>
            <w:r>
              <w:rPr>
                <w:rFonts w:eastAsia="MS Mincho" w:cs="Arial"/>
                <w:b/>
                <w:sz w:val="22"/>
                <w:szCs w:val="22"/>
                <w:lang w:bidi="he-IL"/>
              </w:rPr>
              <w:t xml:space="preserve">Notes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68" w:hRule="atLeast"/>
          <w:jc w:val="center"/>
        </w:trPr>
        <w:tc>
          <w:tcPr>
            <w:tcW w:w="0" w:type="auto"/>
            <w:noWrap/>
            <w:vAlign w:val="bottom"/>
          </w:tcPr>
          <w:p>
            <w:pPr>
              <w:keepNext/>
              <w:keepLines/>
              <w:jc w:val="center"/>
              <w:rPr>
                <w:rFonts w:eastAsia="MS Mincho" w:cs="Arial"/>
                <w:sz w:val="22"/>
                <w:szCs w:val="22"/>
              </w:rPr>
            </w:pPr>
            <w:r>
              <w:rPr>
                <w:rFonts w:eastAsia="MS Mincho" w:cs="Arial"/>
                <w:sz w:val="22"/>
                <w:szCs w:val="22"/>
              </w:rPr>
              <w:t>α</w:t>
            </w:r>
          </w:p>
        </w:tc>
        <w:tc>
          <w:tcPr>
            <w:tcW w:w="0" w:type="auto"/>
            <w:vAlign w:val="bottom"/>
          </w:tcPr>
          <w:p>
            <w:pPr>
              <w:keepNext/>
              <w:keepLines/>
              <w:jc w:val="center"/>
              <w:rPr>
                <w:rFonts w:eastAsia="MS Mincho" w:cs="Arial"/>
                <w:sz w:val="22"/>
                <w:szCs w:val="22"/>
              </w:rPr>
            </w:pPr>
            <w:r>
              <w:rPr>
                <w:rFonts w:eastAsia="MS Mincho" w:cs="Arial"/>
                <w:sz w:val="22"/>
                <w:szCs w:val="22"/>
              </w:rPr>
              <w:t xml:space="preserve">0.6 </w:t>
            </w:r>
          </w:p>
        </w:tc>
        <w:tc>
          <w:tcPr>
            <w:tcW w:w="0" w:type="auto"/>
            <w:vAlign w:val="bottom"/>
          </w:tcPr>
          <w:p>
            <w:pPr>
              <w:keepNext/>
              <w:keepLines/>
              <w:jc w:val="center"/>
              <w:rPr>
                <w:rFonts w:eastAsia="MS Mincho" w:cs="Arial"/>
                <w:sz w:val="22"/>
                <w:szCs w:val="22"/>
              </w:rPr>
            </w:pPr>
            <w:r>
              <w:rPr>
                <w:rFonts w:eastAsia="MS Mincho" w:cs="Arial"/>
                <w:sz w:val="22"/>
                <w:szCs w:val="22"/>
              </w:rPr>
              <w:t xml:space="preserve">0.4 </w:t>
            </w:r>
          </w:p>
        </w:tc>
        <w:tc>
          <w:tcPr>
            <w:tcW w:w="0" w:type="auto"/>
            <w:noWrap/>
            <w:vAlign w:val="bottom"/>
          </w:tcPr>
          <w:p>
            <w:pPr>
              <w:keepNext/>
              <w:keepLines/>
              <w:jc w:val="center"/>
              <w:rPr>
                <w:rFonts w:eastAsia="MS Mincho" w:cs="Arial"/>
                <w:sz w:val="22"/>
                <w:szCs w:val="22"/>
              </w:rPr>
            </w:pPr>
            <w:r>
              <w:rPr>
                <w:rFonts w:eastAsia="MS Mincho" w:cs="Arial"/>
                <w:sz w:val="22"/>
                <w:szCs w:val="22"/>
              </w:rPr>
              <w:t xml:space="preserve">Represents implementation losses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13" w:hRule="atLeast"/>
          <w:jc w:val="center"/>
        </w:trPr>
        <w:tc>
          <w:tcPr>
            <w:tcW w:w="0" w:type="auto"/>
            <w:noWrap/>
            <w:vAlign w:val="bottom"/>
          </w:tcPr>
          <w:p>
            <w:pPr>
              <w:pStyle w:val="37"/>
              <w:rPr>
                <w:rFonts w:ascii="Times New Roman" w:hAnsi="Times New Roman"/>
                <w:sz w:val="22"/>
                <w:szCs w:val="22"/>
              </w:rPr>
            </w:pPr>
            <w:r>
              <w:rPr>
                <w:rFonts w:ascii="Times New Roman" w:hAnsi="Times New Roman"/>
                <w:sz w:val="22"/>
                <w:szCs w:val="22"/>
                <w:lang w:eastAsia="zh-CN"/>
              </w:rPr>
              <w:t>SNIR</w:t>
            </w:r>
            <w:r>
              <w:rPr>
                <w:rFonts w:ascii="Times New Roman" w:hAnsi="Times New Roman"/>
                <w:sz w:val="22"/>
                <w:szCs w:val="22"/>
                <w:vertAlign w:val="subscript"/>
              </w:rPr>
              <w:t>MIN</w:t>
            </w:r>
            <w:r>
              <w:rPr>
                <w:rFonts w:ascii="Times New Roman" w:hAnsi="Times New Roman"/>
                <w:sz w:val="22"/>
                <w:szCs w:val="22"/>
              </w:rPr>
              <w:t xml:space="preserve">, dB </w:t>
            </w:r>
          </w:p>
        </w:tc>
        <w:tc>
          <w:tcPr>
            <w:tcW w:w="0" w:type="auto"/>
            <w:vAlign w:val="bottom"/>
          </w:tcPr>
          <w:p>
            <w:pPr>
              <w:keepNext/>
              <w:keepLines/>
              <w:jc w:val="center"/>
              <w:rPr>
                <w:rFonts w:eastAsia="MS Mincho" w:cs="Arial"/>
                <w:sz w:val="22"/>
                <w:szCs w:val="22"/>
              </w:rPr>
            </w:pPr>
            <w:r>
              <w:rPr>
                <w:rFonts w:eastAsia="MS Mincho" w:cs="Arial"/>
                <w:sz w:val="22"/>
                <w:szCs w:val="22"/>
              </w:rPr>
              <w:t xml:space="preserve">-10 </w:t>
            </w:r>
          </w:p>
        </w:tc>
        <w:tc>
          <w:tcPr>
            <w:tcW w:w="0" w:type="auto"/>
            <w:vAlign w:val="bottom"/>
          </w:tcPr>
          <w:p>
            <w:pPr>
              <w:keepNext/>
              <w:keepLines/>
              <w:jc w:val="center"/>
              <w:rPr>
                <w:rFonts w:eastAsia="MS Mincho" w:cs="Arial"/>
                <w:sz w:val="22"/>
                <w:szCs w:val="22"/>
              </w:rPr>
            </w:pPr>
            <w:r>
              <w:rPr>
                <w:rFonts w:eastAsia="MS Mincho" w:cs="Arial"/>
                <w:sz w:val="22"/>
                <w:szCs w:val="22"/>
              </w:rPr>
              <w:t xml:space="preserve">-10 </w:t>
            </w:r>
          </w:p>
        </w:tc>
        <w:tc>
          <w:tcPr>
            <w:tcW w:w="0" w:type="auto"/>
            <w:noWrap/>
            <w:vAlign w:val="bottom"/>
          </w:tcPr>
          <w:p>
            <w:pPr>
              <w:keepNext/>
              <w:keepLines/>
              <w:jc w:val="center"/>
              <w:rPr>
                <w:rFonts w:eastAsia="MS Mincho" w:cs="Arial"/>
                <w:sz w:val="22"/>
                <w:szCs w:val="22"/>
              </w:rPr>
            </w:pPr>
            <w:r>
              <w:rPr>
                <w:rFonts w:eastAsia="MS Mincho" w:cs="Arial"/>
                <w:sz w:val="22"/>
                <w:szCs w:val="22"/>
              </w:rPr>
              <w:t xml:space="preserve">Based on QPSK, 1/8 rate (DL) &amp; 1/5 rate (UL)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13" w:hRule="atLeast"/>
          <w:jc w:val="center"/>
        </w:trPr>
        <w:tc>
          <w:tcPr>
            <w:tcW w:w="0" w:type="auto"/>
            <w:noWrap/>
            <w:vAlign w:val="bottom"/>
          </w:tcPr>
          <w:p>
            <w:pPr>
              <w:pStyle w:val="37"/>
              <w:rPr>
                <w:rFonts w:ascii="Times New Roman" w:hAnsi="Times New Roman"/>
                <w:sz w:val="22"/>
                <w:szCs w:val="22"/>
              </w:rPr>
            </w:pPr>
            <w:r>
              <w:rPr>
                <w:rFonts w:ascii="Times New Roman" w:hAnsi="Times New Roman"/>
                <w:sz w:val="22"/>
                <w:szCs w:val="22"/>
                <w:lang w:eastAsia="zh-CN"/>
              </w:rPr>
              <w:t>SNIR</w:t>
            </w:r>
            <w:r>
              <w:rPr>
                <w:rFonts w:ascii="Times New Roman" w:hAnsi="Times New Roman"/>
                <w:sz w:val="22"/>
                <w:szCs w:val="22"/>
                <w:vertAlign w:val="subscript"/>
              </w:rPr>
              <w:t>MAX</w:t>
            </w:r>
            <w:r>
              <w:rPr>
                <w:rFonts w:ascii="Times New Roman" w:hAnsi="Times New Roman"/>
                <w:sz w:val="22"/>
                <w:szCs w:val="22"/>
              </w:rPr>
              <w:t xml:space="preserve">, dB </w:t>
            </w:r>
          </w:p>
        </w:tc>
        <w:tc>
          <w:tcPr>
            <w:tcW w:w="0" w:type="auto"/>
            <w:vAlign w:val="bottom"/>
          </w:tcPr>
          <w:p>
            <w:pPr>
              <w:keepNext/>
              <w:keepLines/>
              <w:jc w:val="center"/>
              <w:rPr>
                <w:rFonts w:eastAsia="MS Mincho" w:cs="Arial"/>
                <w:sz w:val="22"/>
                <w:szCs w:val="22"/>
              </w:rPr>
            </w:pPr>
            <w:r>
              <w:rPr>
                <w:rFonts w:eastAsia="MS Mincho" w:cs="Arial"/>
                <w:sz w:val="22"/>
                <w:szCs w:val="22"/>
              </w:rPr>
              <w:t xml:space="preserve">30 </w:t>
            </w:r>
          </w:p>
        </w:tc>
        <w:tc>
          <w:tcPr>
            <w:tcW w:w="0" w:type="auto"/>
            <w:vAlign w:val="bottom"/>
          </w:tcPr>
          <w:p>
            <w:pPr>
              <w:keepNext/>
              <w:keepLines/>
              <w:jc w:val="center"/>
              <w:rPr>
                <w:rFonts w:eastAsia="MS Mincho" w:cs="Arial"/>
                <w:sz w:val="22"/>
                <w:szCs w:val="22"/>
              </w:rPr>
            </w:pPr>
            <w:r>
              <w:rPr>
                <w:rFonts w:eastAsia="MS Mincho" w:cs="Arial"/>
                <w:sz w:val="22"/>
                <w:szCs w:val="22"/>
              </w:rPr>
              <w:t xml:space="preserve">22 </w:t>
            </w:r>
          </w:p>
        </w:tc>
        <w:tc>
          <w:tcPr>
            <w:tcW w:w="0" w:type="auto"/>
            <w:noWrap/>
            <w:vAlign w:val="bottom"/>
          </w:tcPr>
          <w:p>
            <w:pPr>
              <w:keepNext/>
              <w:keepLines/>
              <w:jc w:val="center"/>
              <w:rPr>
                <w:rFonts w:eastAsia="MS Mincho" w:cs="Arial"/>
                <w:sz w:val="22"/>
                <w:szCs w:val="22"/>
              </w:rPr>
            </w:pPr>
            <w:r>
              <w:rPr>
                <w:rFonts w:eastAsia="MS Mincho" w:cs="Arial"/>
                <w:sz w:val="22"/>
                <w:szCs w:val="22"/>
              </w:rPr>
              <w:t xml:space="preserve">Based on 256QAM 0.93(DL) &amp; 64QAM 0.93 (UL) </w:t>
            </w:r>
          </w:p>
        </w:tc>
      </w:tr>
    </w:tbl>
    <w:p>
      <w:pPr>
        <w:pStyle w:val="42"/>
        <w:bidi w:val="0"/>
        <w:ind w:left="0" w:leftChars="0" w:firstLine="0" w:firstLineChars="0"/>
        <w:rPr>
          <w:rFonts w:hint="default"/>
          <w:lang w:val="en-US" w:eastAsia="zh-CN"/>
        </w:rPr>
      </w:pPr>
    </w:p>
    <w:bookmarkEnd w:id="3"/>
    <w:bookmarkEnd w:id="4"/>
    <w:bookmarkEnd w:id="5"/>
    <w:bookmarkEnd w:id="6"/>
    <w:p>
      <w:pPr>
        <w:pStyle w:val="56"/>
        <w:tabs>
          <w:tab w:val="left" w:pos="567"/>
          <w:tab w:val="clear" w:pos="1985"/>
        </w:tabs>
        <w:adjustRightInd w:val="0"/>
        <w:ind w:left="510" w:hanging="510"/>
        <w:rPr>
          <w:highlight w:val="none"/>
        </w:rPr>
      </w:pPr>
      <w:r>
        <w:rPr>
          <w:highlight w:val="none"/>
        </w:rPr>
        <w:t>Conclusions</w:t>
      </w:r>
    </w:p>
    <w:p>
      <w:pPr>
        <w:keepNext w:val="0"/>
        <w:keepLines w:val="0"/>
        <w:pageBreakBefore w:val="0"/>
        <w:widowControl w:val="0"/>
        <w:kinsoku/>
        <w:wordWrap/>
        <w:overflowPunct/>
        <w:topLinePunct w:val="0"/>
        <w:autoSpaceDE/>
        <w:autoSpaceDN/>
        <w:bidi w:val="0"/>
        <w:adjustRightInd/>
        <w:snapToGrid/>
        <w:jc w:val="left"/>
        <w:textAlignment w:val="auto"/>
        <w:rPr>
          <w:rFonts w:hint="eastAsia" w:cs="Times New Roman"/>
          <w:kern w:val="2"/>
          <w:sz w:val="21"/>
          <w:szCs w:val="22"/>
          <w:highlight w:val="none"/>
          <w:lang w:val="en-US" w:eastAsia="zh-CN" w:bidi="ar-SA"/>
        </w:rPr>
      </w:pPr>
      <w:r>
        <w:rPr>
          <w:rFonts w:hint="eastAsia" w:eastAsiaTheme="minorEastAsia"/>
          <w:lang w:val="en-US" w:eastAsia="zh-CN"/>
        </w:rPr>
        <w:t xml:space="preserve">In this contribution, </w:t>
      </w:r>
      <w:r>
        <w:rPr>
          <w:rFonts w:hint="eastAsia"/>
          <w:lang w:val="en-US" w:eastAsia="zh-CN"/>
        </w:rPr>
        <w:t xml:space="preserve">we </w:t>
      </w:r>
      <w:r>
        <w:rPr>
          <w:rFonts w:hint="eastAsia" w:cs="Times New Roman"/>
          <w:kern w:val="2"/>
          <w:sz w:val="21"/>
          <w:szCs w:val="22"/>
          <w:highlight w:val="none"/>
          <w:lang w:val="en-US" w:eastAsia="zh-CN" w:bidi="ar-SA"/>
        </w:rPr>
        <w:t>shared some further views on coexistence study for NTN coexistence in Ka-band and proposals are made as following:</w:t>
      </w:r>
    </w:p>
    <w:p>
      <w:pPr>
        <w:keepNext w:val="0"/>
        <w:keepLines w:val="0"/>
        <w:pageBreakBefore w:val="0"/>
        <w:widowControl w:val="0"/>
        <w:kinsoku/>
        <w:wordWrap/>
        <w:overflowPunct/>
        <w:topLinePunct w:val="0"/>
        <w:autoSpaceDE/>
        <w:autoSpaceDN/>
        <w:bidi w:val="0"/>
        <w:adjustRightInd/>
        <w:snapToGrid/>
        <w:jc w:val="left"/>
        <w:textAlignment w:val="auto"/>
        <w:rPr>
          <w:rFonts w:hint="default" w:cs="Times New Roman"/>
          <w:kern w:val="2"/>
          <w:sz w:val="21"/>
          <w:szCs w:val="22"/>
          <w:highlight w:val="none"/>
          <w:lang w:val="en-US" w:eastAsia="zh-CN" w:bidi="ar-SA"/>
        </w:rPr>
      </w:pPr>
      <w:r>
        <w:rPr>
          <w:rFonts w:hint="eastAsia" w:cs="Times New Roman"/>
          <w:b/>
          <w:bCs/>
          <w:kern w:val="2"/>
          <w:sz w:val="21"/>
          <w:szCs w:val="22"/>
          <w:highlight w:val="none"/>
          <w:lang w:val="en-US" w:eastAsia="zh-CN" w:bidi="ar-SA"/>
        </w:rPr>
        <w:t>Proposal 1</w:t>
      </w:r>
      <w:r>
        <w:rPr>
          <w:rFonts w:hint="eastAsia" w:cs="Times New Roman"/>
          <w:kern w:val="2"/>
          <w:sz w:val="21"/>
          <w:szCs w:val="22"/>
          <w:highlight w:val="none"/>
          <w:lang w:val="en-US" w:eastAsia="zh-CN" w:bidi="ar-SA"/>
        </w:rPr>
        <w:t>: propose to use the simulation assumption in this contribution as baseline for NTN Ka band coexistence study.</w:t>
      </w:r>
    </w:p>
    <w:p>
      <w:pPr>
        <w:pStyle w:val="56"/>
        <w:tabs>
          <w:tab w:val="left" w:pos="567"/>
          <w:tab w:val="clear" w:pos="1985"/>
        </w:tabs>
        <w:adjustRightInd w:val="0"/>
        <w:ind w:left="510" w:hanging="510"/>
        <w:rPr>
          <w:highlight w:val="none"/>
        </w:rPr>
      </w:pPr>
      <w:r>
        <w:rPr>
          <w:highlight w:val="none"/>
        </w:rPr>
        <w:t>References</w:t>
      </w:r>
    </w:p>
    <w:p>
      <w:pPr>
        <w:pStyle w:val="54"/>
        <w:numPr>
          <w:ilvl w:val="0"/>
          <w:numId w:val="4"/>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RP-221819, Core part: NR NTN (Non-Terrestrial Networks) enhancements</w:t>
      </w:r>
      <w:r>
        <w:rPr>
          <w:rFonts w:hint="eastAsia" w:cs="Times New Roman"/>
          <w:sz w:val="20"/>
          <w:szCs w:val="20"/>
          <w:highlight w:val="none"/>
          <w:lang w:val="en-US" w:eastAsia="zh-CN"/>
        </w:rPr>
        <w:t>, Thales, Approved.</w:t>
      </w:r>
    </w:p>
    <w:p>
      <w:pPr>
        <w:pStyle w:val="54"/>
        <w:numPr>
          <w:ilvl w:val="0"/>
          <w:numId w:val="4"/>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RP-222654</w:t>
      </w:r>
      <w:r>
        <w:rPr>
          <w:rFonts w:hint="eastAsia" w:cs="Times New Roman"/>
          <w:sz w:val="20"/>
          <w:szCs w:val="20"/>
          <w:highlight w:val="none"/>
          <w:lang w:val="en-US" w:eastAsia="zh-CN"/>
        </w:rPr>
        <w:t xml:space="preserve">, </w:t>
      </w:r>
      <w:r>
        <w:rPr>
          <w:rFonts w:hint="eastAsia" w:ascii="Times New Roman" w:hAnsi="Times New Roman" w:eastAsia="宋体" w:cs="Times New Roman"/>
          <w:sz w:val="20"/>
          <w:szCs w:val="20"/>
          <w:highlight w:val="none"/>
          <w:lang w:val="en-US" w:eastAsia="zh-CN"/>
        </w:rPr>
        <w:t>Core part: NR NTN (Non-Terrestrial Networks) enhancements</w:t>
      </w:r>
      <w:r>
        <w:rPr>
          <w:rFonts w:hint="eastAsia" w:cs="Times New Roman"/>
          <w:sz w:val="20"/>
          <w:szCs w:val="20"/>
          <w:highlight w:val="none"/>
          <w:lang w:val="en-US" w:eastAsia="zh-CN"/>
        </w:rPr>
        <w:t>, Thales, Approved.</w:t>
      </w:r>
    </w:p>
    <w:p>
      <w:pPr>
        <w:pStyle w:val="54"/>
        <w:numPr>
          <w:ilvl w:val="0"/>
          <w:numId w:val="4"/>
        </w:numPr>
        <w:rPr>
          <w:rFonts w:hint="eastAsia" w:ascii="Times New Roman" w:hAnsi="Times New Roman" w:eastAsia="宋体" w:cs="Times New Roman"/>
          <w:sz w:val="20"/>
          <w:szCs w:val="20"/>
          <w:highlight w:val="none"/>
          <w:lang w:val="en-US" w:eastAsia="zh-CN"/>
        </w:rPr>
      </w:pPr>
      <w:r>
        <w:rPr>
          <w:rFonts w:hint="eastAsia" w:cs="Times New Roman"/>
          <w:sz w:val="20"/>
          <w:szCs w:val="20"/>
          <w:highlight w:val="none"/>
          <w:lang w:val="en-US" w:eastAsia="zh-CN"/>
        </w:rPr>
        <w:t>TR 38.821</w:t>
      </w:r>
    </w:p>
    <w:p>
      <w:pPr>
        <w:pStyle w:val="54"/>
        <w:numPr>
          <w:ilvl w:val="0"/>
          <w:numId w:val="4"/>
        </w:numPr>
        <w:rPr>
          <w:rFonts w:hint="eastAsia" w:ascii="Times New Roman" w:hAnsi="Times New Roman" w:eastAsia="宋体" w:cs="Times New Roman"/>
          <w:sz w:val="20"/>
          <w:szCs w:val="20"/>
          <w:highlight w:val="none"/>
          <w:lang w:val="en-US" w:eastAsia="zh-CN"/>
        </w:rPr>
      </w:pPr>
      <w:r>
        <w:rPr>
          <w:rFonts w:hint="eastAsia" w:cs="Times New Roman"/>
          <w:sz w:val="20"/>
          <w:szCs w:val="20"/>
          <w:highlight w:val="none"/>
          <w:lang w:val="en-US" w:eastAsia="zh-CN"/>
        </w:rPr>
        <w:t>TR 38.803</w:t>
      </w:r>
    </w:p>
    <w:p>
      <w:pPr>
        <w:pStyle w:val="54"/>
        <w:numPr>
          <w:ilvl w:val="0"/>
          <w:numId w:val="4"/>
        </w:numPr>
        <w:rPr>
          <w:rFonts w:hint="eastAsia" w:ascii="Times New Roman" w:hAnsi="Times New Roman" w:eastAsia="宋体" w:cs="Times New Roman"/>
          <w:sz w:val="20"/>
          <w:szCs w:val="20"/>
          <w:highlight w:val="none"/>
          <w:lang w:val="en-US" w:eastAsia="zh-CN"/>
        </w:rPr>
      </w:pPr>
      <w:r>
        <w:rPr>
          <w:rFonts w:hint="eastAsia" w:cs="Times New Roman"/>
          <w:sz w:val="20"/>
          <w:szCs w:val="20"/>
          <w:highlight w:val="none"/>
          <w:lang w:val="en-US" w:eastAsia="zh-CN"/>
        </w:rPr>
        <w:t>TR 38.828</w:t>
      </w:r>
    </w:p>
    <w:p>
      <w:pPr>
        <w:pStyle w:val="54"/>
        <w:numPr>
          <w:ilvl w:val="-1"/>
          <w:numId w:val="0"/>
        </w:numPr>
        <w:rPr>
          <w:rFonts w:hint="eastAsia" w:ascii="Times New Roman" w:hAnsi="Times New Roman" w:eastAsia="宋体" w:cs="Times New Roman"/>
          <w:sz w:val="20"/>
          <w:szCs w:val="20"/>
          <w:highlight w:val="none"/>
          <w:lang w:val="en-US" w:eastAsia="zh-CN"/>
        </w:rPr>
      </w:pPr>
    </w:p>
    <w:p>
      <w:pPr>
        <w:numPr>
          <w:ilvl w:val="0"/>
          <w:numId w:val="0"/>
        </w:numPr>
        <w:ind w:leftChars="0"/>
        <w:rPr>
          <w:rFonts w:hint="default" w:ascii="Times New Roman" w:hAnsi="Times New Roman" w:cs="Times New Roman"/>
          <w:kern w:val="2"/>
          <w:sz w:val="20"/>
          <w:szCs w:val="20"/>
          <w:highlight w:val="none"/>
          <w:lang w:val="en-US" w:eastAsia="zh-CN" w:bidi="ar-SA"/>
        </w:rPr>
      </w:pPr>
    </w:p>
    <w:p>
      <w:pPr>
        <w:pStyle w:val="20"/>
        <w:shd w:val="clear" w:color="auto" w:fill="FFFFFF"/>
        <w:spacing w:before="60" w:beforeAutospacing="0" w:after="0" w:afterAutospacing="0" w:line="300" w:lineRule="atLeast"/>
        <w:rPr>
          <w:rStyle w:val="29"/>
          <w:rFonts w:ascii="Times New Roman" w:hAnsi="Times New Roman" w:cs="Times New Roman"/>
          <w:color w:val="auto"/>
          <w:sz w:val="21"/>
          <w:szCs w:val="21"/>
          <w:highlight w:val="none"/>
          <w:shd w:val="clear" w:color="auto" w:fill="FFFFFF"/>
        </w:rPr>
      </w:pPr>
    </w:p>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257C42D9"/>
    <w:multiLevelType w:val="multilevel"/>
    <w:tmpl w:val="257C42D9"/>
    <w:lvl w:ilvl="0" w:tentative="0">
      <w:start w:val="1"/>
      <w:numFmt w:val="bullet"/>
      <w:lvlText w:val=""/>
      <w:lvlJc w:val="left"/>
      <w:pPr>
        <w:tabs>
          <w:tab w:val="left" w:pos="1004"/>
        </w:tabs>
        <w:ind w:left="1004" w:hanging="360"/>
      </w:pPr>
      <w:rPr>
        <w:rFonts w:hint="default" w:ascii="Symbol" w:hAnsi="Symbol"/>
      </w:rPr>
    </w:lvl>
    <w:lvl w:ilvl="1" w:tentative="0">
      <w:start w:val="1"/>
      <w:numFmt w:val="bullet"/>
      <w:lvlText w:val="o"/>
      <w:lvlJc w:val="left"/>
      <w:pPr>
        <w:tabs>
          <w:tab w:val="left" w:pos="1724"/>
        </w:tabs>
        <w:ind w:left="1724" w:hanging="360"/>
      </w:pPr>
      <w:rPr>
        <w:rFonts w:hint="default" w:ascii="Courier New" w:hAnsi="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2">
    <w:nsid w:val="5D177F5E"/>
    <w:multiLevelType w:val="multilevel"/>
    <w:tmpl w:val="5D177F5E"/>
    <w:lvl w:ilvl="0" w:tentative="0">
      <w:start w:val="1"/>
      <w:numFmt w:val="decimal"/>
      <w:pStyle w:val="56"/>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3">
    <w:nsid w:val="78A93F85"/>
    <w:multiLevelType w:val="multilevel"/>
    <w:tmpl w:val="78A93F8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3F12"/>
    <w:rsid w:val="0065404A"/>
    <w:rsid w:val="0065420A"/>
    <w:rsid w:val="006544A7"/>
    <w:rsid w:val="00654B72"/>
    <w:rsid w:val="00654FE4"/>
    <w:rsid w:val="006550C3"/>
    <w:rsid w:val="006553C2"/>
    <w:rsid w:val="006556EA"/>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0C8D"/>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7C0"/>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90B"/>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942F8"/>
    <w:rsid w:val="011B7946"/>
    <w:rsid w:val="012823DD"/>
    <w:rsid w:val="012A6A7A"/>
    <w:rsid w:val="01332FC6"/>
    <w:rsid w:val="013332C3"/>
    <w:rsid w:val="013A4C94"/>
    <w:rsid w:val="013F745D"/>
    <w:rsid w:val="01402D63"/>
    <w:rsid w:val="01442D89"/>
    <w:rsid w:val="01594895"/>
    <w:rsid w:val="015C06BF"/>
    <w:rsid w:val="015F18F2"/>
    <w:rsid w:val="015F5FA3"/>
    <w:rsid w:val="01662CC4"/>
    <w:rsid w:val="016800B9"/>
    <w:rsid w:val="017059E0"/>
    <w:rsid w:val="01791D2E"/>
    <w:rsid w:val="01821D8F"/>
    <w:rsid w:val="018C2266"/>
    <w:rsid w:val="018C3642"/>
    <w:rsid w:val="018D7DCE"/>
    <w:rsid w:val="0195201D"/>
    <w:rsid w:val="019C3DA8"/>
    <w:rsid w:val="01A402CD"/>
    <w:rsid w:val="01A5504D"/>
    <w:rsid w:val="01A723CD"/>
    <w:rsid w:val="01A742A2"/>
    <w:rsid w:val="01BE34DB"/>
    <w:rsid w:val="01BE6ACE"/>
    <w:rsid w:val="01C027D4"/>
    <w:rsid w:val="01C32135"/>
    <w:rsid w:val="01CB0428"/>
    <w:rsid w:val="01CB7A2C"/>
    <w:rsid w:val="01CF07AE"/>
    <w:rsid w:val="01D518FC"/>
    <w:rsid w:val="01D615E1"/>
    <w:rsid w:val="01E1598F"/>
    <w:rsid w:val="01E268ED"/>
    <w:rsid w:val="01EB414A"/>
    <w:rsid w:val="01ED0229"/>
    <w:rsid w:val="01F33D9D"/>
    <w:rsid w:val="01F60577"/>
    <w:rsid w:val="02016155"/>
    <w:rsid w:val="020F4070"/>
    <w:rsid w:val="021042F2"/>
    <w:rsid w:val="021A2C38"/>
    <w:rsid w:val="021D2604"/>
    <w:rsid w:val="02293A2A"/>
    <w:rsid w:val="022A62FB"/>
    <w:rsid w:val="022D5BF3"/>
    <w:rsid w:val="022F6559"/>
    <w:rsid w:val="022F66E0"/>
    <w:rsid w:val="0238292F"/>
    <w:rsid w:val="023E7088"/>
    <w:rsid w:val="0240545F"/>
    <w:rsid w:val="024C13AB"/>
    <w:rsid w:val="0251470E"/>
    <w:rsid w:val="02525E5D"/>
    <w:rsid w:val="02532AA9"/>
    <w:rsid w:val="025732DD"/>
    <w:rsid w:val="0262197E"/>
    <w:rsid w:val="027035EC"/>
    <w:rsid w:val="028278C3"/>
    <w:rsid w:val="028748E0"/>
    <w:rsid w:val="02892A7A"/>
    <w:rsid w:val="02927A98"/>
    <w:rsid w:val="029342BD"/>
    <w:rsid w:val="029D3139"/>
    <w:rsid w:val="02AF6836"/>
    <w:rsid w:val="02B06DC0"/>
    <w:rsid w:val="02B31189"/>
    <w:rsid w:val="02B85839"/>
    <w:rsid w:val="02C86D51"/>
    <w:rsid w:val="02CE3DD2"/>
    <w:rsid w:val="02CF0BD4"/>
    <w:rsid w:val="02D72CF0"/>
    <w:rsid w:val="02DB3978"/>
    <w:rsid w:val="02DC6BBC"/>
    <w:rsid w:val="02E3271D"/>
    <w:rsid w:val="02E929C0"/>
    <w:rsid w:val="02F573DC"/>
    <w:rsid w:val="02F95CD1"/>
    <w:rsid w:val="030150CB"/>
    <w:rsid w:val="030313BA"/>
    <w:rsid w:val="03142F2C"/>
    <w:rsid w:val="0315569B"/>
    <w:rsid w:val="031712C4"/>
    <w:rsid w:val="03186045"/>
    <w:rsid w:val="031967AA"/>
    <w:rsid w:val="031E0FAC"/>
    <w:rsid w:val="031E4C95"/>
    <w:rsid w:val="032E4DBB"/>
    <w:rsid w:val="0332111E"/>
    <w:rsid w:val="03332CAE"/>
    <w:rsid w:val="03343BC7"/>
    <w:rsid w:val="033D44BC"/>
    <w:rsid w:val="033F52A3"/>
    <w:rsid w:val="033F7E0C"/>
    <w:rsid w:val="03402EB3"/>
    <w:rsid w:val="034E41AA"/>
    <w:rsid w:val="034E670F"/>
    <w:rsid w:val="034F5F48"/>
    <w:rsid w:val="0354325C"/>
    <w:rsid w:val="035C4C68"/>
    <w:rsid w:val="035D2EB4"/>
    <w:rsid w:val="03651217"/>
    <w:rsid w:val="03687ADD"/>
    <w:rsid w:val="03696DA6"/>
    <w:rsid w:val="036A231E"/>
    <w:rsid w:val="03774924"/>
    <w:rsid w:val="03822F79"/>
    <w:rsid w:val="0395764C"/>
    <w:rsid w:val="039B69FD"/>
    <w:rsid w:val="039C5D00"/>
    <w:rsid w:val="03A32E58"/>
    <w:rsid w:val="03C0647A"/>
    <w:rsid w:val="03C6618A"/>
    <w:rsid w:val="03CD06E1"/>
    <w:rsid w:val="03CD6E1F"/>
    <w:rsid w:val="03D4427A"/>
    <w:rsid w:val="03DB3705"/>
    <w:rsid w:val="03E54642"/>
    <w:rsid w:val="03E62C26"/>
    <w:rsid w:val="03F54B29"/>
    <w:rsid w:val="03F81356"/>
    <w:rsid w:val="03F947E9"/>
    <w:rsid w:val="03FF3D36"/>
    <w:rsid w:val="04034FE6"/>
    <w:rsid w:val="040B2442"/>
    <w:rsid w:val="040C6238"/>
    <w:rsid w:val="040E704D"/>
    <w:rsid w:val="041875C1"/>
    <w:rsid w:val="04193A43"/>
    <w:rsid w:val="04225784"/>
    <w:rsid w:val="04252816"/>
    <w:rsid w:val="042C5ED8"/>
    <w:rsid w:val="043711E5"/>
    <w:rsid w:val="04376B0F"/>
    <w:rsid w:val="043E23BF"/>
    <w:rsid w:val="0444143C"/>
    <w:rsid w:val="0444783F"/>
    <w:rsid w:val="044753DC"/>
    <w:rsid w:val="045835A5"/>
    <w:rsid w:val="045A7BB7"/>
    <w:rsid w:val="045C0E21"/>
    <w:rsid w:val="045E1DEE"/>
    <w:rsid w:val="045F23BF"/>
    <w:rsid w:val="04605B56"/>
    <w:rsid w:val="04671100"/>
    <w:rsid w:val="046E568E"/>
    <w:rsid w:val="046F2C8C"/>
    <w:rsid w:val="04786ED3"/>
    <w:rsid w:val="04833A2A"/>
    <w:rsid w:val="04856247"/>
    <w:rsid w:val="04865E52"/>
    <w:rsid w:val="048829D4"/>
    <w:rsid w:val="049B40DC"/>
    <w:rsid w:val="04B1469E"/>
    <w:rsid w:val="04B86684"/>
    <w:rsid w:val="04D158CF"/>
    <w:rsid w:val="04D66461"/>
    <w:rsid w:val="04EC76AB"/>
    <w:rsid w:val="04F179E0"/>
    <w:rsid w:val="050B4FA8"/>
    <w:rsid w:val="050D6F1E"/>
    <w:rsid w:val="051034CD"/>
    <w:rsid w:val="051453AF"/>
    <w:rsid w:val="05174028"/>
    <w:rsid w:val="051F43BC"/>
    <w:rsid w:val="052432F7"/>
    <w:rsid w:val="05280A89"/>
    <w:rsid w:val="05367F8C"/>
    <w:rsid w:val="053E1AC2"/>
    <w:rsid w:val="0545651B"/>
    <w:rsid w:val="05583DC1"/>
    <w:rsid w:val="05587197"/>
    <w:rsid w:val="055A77BF"/>
    <w:rsid w:val="05673CE3"/>
    <w:rsid w:val="05687505"/>
    <w:rsid w:val="05734531"/>
    <w:rsid w:val="05784E56"/>
    <w:rsid w:val="05804262"/>
    <w:rsid w:val="05816D10"/>
    <w:rsid w:val="058A5370"/>
    <w:rsid w:val="058E6ED4"/>
    <w:rsid w:val="05930F73"/>
    <w:rsid w:val="05940F3F"/>
    <w:rsid w:val="05991C8F"/>
    <w:rsid w:val="05A706E9"/>
    <w:rsid w:val="05B11A20"/>
    <w:rsid w:val="05B173DC"/>
    <w:rsid w:val="05B27D07"/>
    <w:rsid w:val="05B658ED"/>
    <w:rsid w:val="05BC079D"/>
    <w:rsid w:val="05BE42A5"/>
    <w:rsid w:val="05C256BE"/>
    <w:rsid w:val="05CC32B8"/>
    <w:rsid w:val="05D16BC6"/>
    <w:rsid w:val="05E26D76"/>
    <w:rsid w:val="05E660EA"/>
    <w:rsid w:val="05E73462"/>
    <w:rsid w:val="05EB0F6A"/>
    <w:rsid w:val="05EE3B4E"/>
    <w:rsid w:val="05FA1213"/>
    <w:rsid w:val="05FF3135"/>
    <w:rsid w:val="060526B0"/>
    <w:rsid w:val="060836A6"/>
    <w:rsid w:val="060C5B07"/>
    <w:rsid w:val="060D249E"/>
    <w:rsid w:val="060E70C4"/>
    <w:rsid w:val="06111076"/>
    <w:rsid w:val="062D742E"/>
    <w:rsid w:val="064001EE"/>
    <w:rsid w:val="06474EFD"/>
    <w:rsid w:val="06493A8C"/>
    <w:rsid w:val="064A35EA"/>
    <w:rsid w:val="064B521E"/>
    <w:rsid w:val="064C2727"/>
    <w:rsid w:val="065740AF"/>
    <w:rsid w:val="065A56A2"/>
    <w:rsid w:val="0665756F"/>
    <w:rsid w:val="06735C62"/>
    <w:rsid w:val="067570AB"/>
    <w:rsid w:val="067B39B4"/>
    <w:rsid w:val="067D10EC"/>
    <w:rsid w:val="067D28AB"/>
    <w:rsid w:val="06805AC5"/>
    <w:rsid w:val="06836FEC"/>
    <w:rsid w:val="068523FB"/>
    <w:rsid w:val="068C6317"/>
    <w:rsid w:val="069B1966"/>
    <w:rsid w:val="06A32A23"/>
    <w:rsid w:val="06A55EB9"/>
    <w:rsid w:val="06AE0568"/>
    <w:rsid w:val="06B506C7"/>
    <w:rsid w:val="06B548E2"/>
    <w:rsid w:val="06BA7F49"/>
    <w:rsid w:val="06BB4F9D"/>
    <w:rsid w:val="06C72EBF"/>
    <w:rsid w:val="06C9247F"/>
    <w:rsid w:val="06CD3A64"/>
    <w:rsid w:val="06CF5C8A"/>
    <w:rsid w:val="06D41629"/>
    <w:rsid w:val="06ED65D9"/>
    <w:rsid w:val="06F30672"/>
    <w:rsid w:val="06F35A7A"/>
    <w:rsid w:val="06F35AB6"/>
    <w:rsid w:val="06F66B05"/>
    <w:rsid w:val="0702074E"/>
    <w:rsid w:val="0708086F"/>
    <w:rsid w:val="07220D76"/>
    <w:rsid w:val="072717DA"/>
    <w:rsid w:val="07277193"/>
    <w:rsid w:val="072911D9"/>
    <w:rsid w:val="072B7E46"/>
    <w:rsid w:val="072F2139"/>
    <w:rsid w:val="073B285A"/>
    <w:rsid w:val="073C25AC"/>
    <w:rsid w:val="07436058"/>
    <w:rsid w:val="074E566F"/>
    <w:rsid w:val="074F3DF9"/>
    <w:rsid w:val="07537C92"/>
    <w:rsid w:val="07556D74"/>
    <w:rsid w:val="075670A4"/>
    <w:rsid w:val="075E667A"/>
    <w:rsid w:val="07660D5A"/>
    <w:rsid w:val="07665169"/>
    <w:rsid w:val="076F4BA4"/>
    <w:rsid w:val="07731BE6"/>
    <w:rsid w:val="07750A92"/>
    <w:rsid w:val="077F542D"/>
    <w:rsid w:val="077F5D16"/>
    <w:rsid w:val="07817B19"/>
    <w:rsid w:val="078B062A"/>
    <w:rsid w:val="078D5FEA"/>
    <w:rsid w:val="07916BE4"/>
    <w:rsid w:val="079A693E"/>
    <w:rsid w:val="07A2728D"/>
    <w:rsid w:val="07AA3E51"/>
    <w:rsid w:val="07BE51B2"/>
    <w:rsid w:val="07D835FB"/>
    <w:rsid w:val="07DD018B"/>
    <w:rsid w:val="07E014BE"/>
    <w:rsid w:val="07E04AA8"/>
    <w:rsid w:val="07E85751"/>
    <w:rsid w:val="07ED5339"/>
    <w:rsid w:val="07F97CF9"/>
    <w:rsid w:val="07FF65C5"/>
    <w:rsid w:val="0800676F"/>
    <w:rsid w:val="080F4BCD"/>
    <w:rsid w:val="08171593"/>
    <w:rsid w:val="08191C43"/>
    <w:rsid w:val="0825730E"/>
    <w:rsid w:val="0835476E"/>
    <w:rsid w:val="08367FC2"/>
    <w:rsid w:val="08391661"/>
    <w:rsid w:val="084E0029"/>
    <w:rsid w:val="08503CC3"/>
    <w:rsid w:val="08550FFB"/>
    <w:rsid w:val="085D6C7E"/>
    <w:rsid w:val="08611CAF"/>
    <w:rsid w:val="0865781A"/>
    <w:rsid w:val="0866133E"/>
    <w:rsid w:val="08692F64"/>
    <w:rsid w:val="087716A2"/>
    <w:rsid w:val="08780590"/>
    <w:rsid w:val="087E046C"/>
    <w:rsid w:val="08813C88"/>
    <w:rsid w:val="0889638F"/>
    <w:rsid w:val="08912A59"/>
    <w:rsid w:val="08942BDF"/>
    <w:rsid w:val="089852F1"/>
    <w:rsid w:val="08990610"/>
    <w:rsid w:val="089A778B"/>
    <w:rsid w:val="089B5449"/>
    <w:rsid w:val="089D6B7D"/>
    <w:rsid w:val="08A03B5E"/>
    <w:rsid w:val="08A275F2"/>
    <w:rsid w:val="08B21918"/>
    <w:rsid w:val="08B40442"/>
    <w:rsid w:val="08B94847"/>
    <w:rsid w:val="08C14001"/>
    <w:rsid w:val="08D836B6"/>
    <w:rsid w:val="08F5200D"/>
    <w:rsid w:val="08F911CC"/>
    <w:rsid w:val="09016732"/>
    <w:rsid w:val="09127CF4"/>
    <w:rsid w:val="092234B5"/>
    <w:rsid w:val="09226860"/>
    <w:rsid w:val="092C26C9"/>
    <w:rsid w:val="092C5A95"/>
    <w:rsid w:val="09334A3F"/>
    <w:rsid w:val="094109B5"/>
    <w:rsid w:val="09444B9B"/>
    <w:rsid w:val="094D5CEE"/>
    <w:rsid w:val="094E3DF1"/>
    <w:rsid w:val="0953050B"/>
    <w:rsid w:val="09546457"/>
    <w:rsid w:val="0958129F"/>
    <w:rsid w:val="09582472"/>
    <w:rsid w:val="096308E4"/>
    <w:rsid w:val="096913F9"/>
    <w:rsid w:val="096B649C"/>
    <w:rsid w:val="096F18AA"/>
    <w:rsid w:val="096F1D52"/>
    <w:rsid w:val="09713F26"/>
    <w:rsid w:val="097715BA"/>
    <w:rsid w:val="09796C44"/>
    <w:rsid w:val="097E56C1"/>
    <w:rsid w:val="098344BC"/>
    <w:rsid w:val="09846B33"/>
    <w:rsid w:val="098A1B59"/>
    <w:rsid w:val="09902C37"/>
    <w:rsid w:val="09973C26"/>
    <w:rsid w:val="099D22A1"/>
    <w:rsid w:val="09A545D9"/>
    <w:rsid w:val="09A64698"/>
    <w:rsid w:val="09AA28F4"/>
    <w:rsid w:val="09AC5074"/>
    <w:rsid w:val="09AD07F3"/>
    <w:rsid w:val="09B14A34"/>
    <w:rsid w:val="09BA5647"/>
    <w:rsid w:val="09C346F5"/>
    <w:rsid w:val="09CD6A58"/>
    <w:rsid w:val="09CD6EF5"/>
    <w:rsid w:val="09DA1C3B"/>
    <w:rsid w:val="09E14486"/>
    <w:rsid w:val="09E4648F"/>
    <w:rsid w:val="09ED4DC6"/>
    <w:rsid w:val="09F1407D"/>
    <w:rsid w:val="09F21427"/>
    <w:rsid w:val="0A037432"/>
    <w:rsid w:val="0A093274"/>
    <w:rsid w:val="0A145E2C"/>
    <w:rsid w:val="0A223227"/>
    <w:rsid w:val="0A22459E"/>
    <w:rsid w:val="0A2705E1"/>
    <w:rsid w:val="0A2A6A0B"/>
    <w:rsid w:val="0A312533"/>
    <w:rsid w:val="0A335E1D"/>
    <w:rsid w:val="0A3A0D5D"/>
    <w:rsid w:val="0A3E4E5D"/>
    <w:rsid w:val="0A5056C6"/>
    <w:rsid w:val="0A5060D6"/>
    <w:rsid w:val="0A5F4C2E"/>
    <w:rsid w:val="0A6164A7"/>
    <w:rsid w:val="0A662CDE"/>
    <w:rsid w:val="0A6B69C2"/>
    <w:rsid w:val="0A7200B0"/>
    <w:rsid w:val="0A741F08"/>
    <w:rsid w:val="0A771CA5"/>
    <w:rsid w:val="0A791042"/>
    <w:rsid w:val="0A7F11A2"/>
    <w:rsid w:val="0A7F4F37"/>
    <w:rsid w:val="0A843B9D"/>
    <w:rsid w:val="0A8621F2"/>
    <w:rsid w:val="0A8C711B"/>
    <w:rsid w:val="0A8F1F9F"/>
    <w:rsid w:val="0A8F4E11"/>
    <w:rsid w:val="0A9B6BF5"/>
    <w:rsid w:val="0A9E5B2C"/>
    <w:rsid w:val="0AA40CFE"/>
    <w:rsid w:val="0AA50074"/>
    <w:rsid w:val="0AAB401F"/>
    <w:rsid w:val="0AB329A9"/>
    <w:rsid w:val="0ABA55D8"/>
    <w:rsid w:val="0AC23AEF"/>
    <w:rsid w:val="0ACD4245"/>
    <w:rsid w:val="0AD57FD6"/>
    <w:rsid w:val="0AD84FAB"/>
    <w:rsid w:val="0ADA5603"/>
    <w:rsid w:val="0ADD7B55"/>
    <w:rsid w:val="0B0569D0"/>
    <w:rsid w:val="0B110AC0"/>
    <w:rsid w:val="0B1157EF"/>
    <w:rsid w:val="0B155EAD"/>
    <w:rsid w:val="0B164041"/>
    <w:rsid w:val="0B1765E0"/>
    <w:rsid w:val="0B1C1D7C"/>
    <w:rsid w:val="0B1D3582"/>
    <w:rsid w:val="0B22066E"/>
    <w:rsid w:val="0B2643BE"/>
    <w:rsid w:val="0B2D66EE"/>
    <w:rsid w:val="0B3F2432"/>
    <w:rsid w:val="0B4D5218"/>
    <w:rsid w:val="0B5C18DB"/>
    <w:rsid w:val="0B5C42B3"/>
    <w:rsid w:val="0B5F215C"/>
    <w:rsid w:val="0B605DE1"/>
    <w:rsid w:val="0B622E13"/>
    <w:rsid w:val="0B651A68"/>
    <w:rsid w:val="0B717521"/>
    <w:rsid w:val="0B882EA9"/>
    <w:rsid w:val="0B884E90"/>
    <w:rsid w:val="0B892782"/>
    <w:rsid w:val="0B936E39"/>
    <w:rsid w:val="0B990356"/>
    <w:rsid w:val="0B9C0905"/>
    <w:rsid w:val="0B9C3FC2"/>
    <w:rsid w:val="0B9E13B0"/>
    <w:rsid w:val="0BB02C8B"/>
    <w:rsid w:val="0BB2460A"/>
    <w:rsid w:val="0BB41CFB"/>
    <w:rsid w:val="0BB53F3C"/>
    <w:rsid w:val="0BB96A2D"/>
    <w:rsid w:val="0BC739F0"/>
    <w:rsid w:val="0BD21910"/>
    <w:rsid w:val="0BDA3782"/>
    <w:rsid w:val="0BDB5584"/>
    <w:rsid w:val="0BE03DAA"/>
    <w:rsid w:val="0BE17727"/>
    <w:rsid w:val="0BEC55E4"/>
    <w:rsid w:val="0BF427F9"/>
    <w:rsid w:val="0C0B2ABC"/>
    <w:rsid w:val="0C0C632D"/>
    <w:rsid w:val="0C120111"/>
    <w:rsid w:val="0C12447E"/>
    <w:rsid w:val="0C1D0A79"/>
    <w:rsid w:val="0C2C1AFF"/>
    <w:rsid w:val="0C37145B"/>
    <w:rsid w:val="0C3946F8"/>
    <w:rsid w:val="0C3C0AB0"/>
    <w:rsid w:val="0C52301A"/>
    <w:rsid w:val="0C573449"/>
    <w:rsid w:val="0C576E02"/>
    <w:rsid w:val="0C6038EF"/>
    <w:rsid w:val="0C654C73"/>
    <w:rsid w:val="0C663BE3"/>
    <w:rsid w:val="0C663CA8"/>
    <w:rsid w:val="0C684520"/>
    <w:rsid w:val="0C744A34"/>
    <w:rsid w:val="0C751214"/>
    <w:rsid w:val="0C767881"/>
    <w:rsid w:val="0C780533"/>
    <w:rsid w:val="0C780F1E"/>
    <w:rsid w:val="0C85742B"/>
    <w:rsid w:val="0C866066"/>
    <w:rsid w:val="0C8726EC"/>
    <w:rsid w:val="0C873353"/>
    <w:rsid w:val="0C885C99"/>
    <w:rsid w:val="0C8B4B61"/>
    <w:rsid w:val="0C9A4387"/>
    <w:rsid w:val="0C9D3F03"/>
    <w:rsid w:val="0C9D474E"/>
    <w:rsid w:val="0CA1546A"/>
    <w:rsid w:val="0CA4660D"/>
    <w:rsid w:val="0CA46672"/>
    <w:rsid w:val="0CA92BAC"/>
    <w:rsid w:val="0CB06DD3"/>
    <w:rsid w:val="0CB471A1"/>
    <w:rsid w:val="0CB90F2E"/>
    <w:rsid w:val="0CBB5A0F"/>
    <w:rsid w:val="0CBB7EBC"/>
    <w:rsid w:val="0CCD3B1C"/>
    <w:rsid w:val="0CE245F1"/>
    <w:rsid w:val="0CE4001E"/>
    <w:rsid w:val="0CEA29BA"/>
    <w:rsid w:val="0CF56AE3"/>
    <w:rsid w:val="0D0213CD"/>
    <w:rsid w:val="0D04575D"/>
    <w:rsid w:val="0D0612B8"/>
    <w:rsid w:val="0D066A9C"/>
    <w:rsid w:val="0D0714BC"/>
    <w:rsid w:val="0D136EF9"/>
    <w:rsid w:val="0D1A52C8"/>
    <w:rsid w:val="0D1C1D16"/>
    <w:rsid w:val="0D202C1F"/>
    <w:rsid w:val="0D21615D"/>
    <w:rsid w:val="0D2454BF"/>
    <w:rsid w:val="0D2767B5"/>
    <w:rsid w:val="0D3E327E"/>
    <w:rsid w:val="0D432A3E"/>
    <w:rsid w:val="0D480AA9"/>
    <w:rsid w:val="0D5800C7"/>
    <w:rsid w:val="0D5B6E86"/>
    <w:rsid w:val="0D604B9B"/>
    <w:rsid w:val="0D6A353C"/>
    <w:rsid w:val="0D826C81"/>
    <w:rsid w:val="0D904522"/>
    <w:rsid w:val="0D976014"/>
    <w:rsid w:val="0DA060E8"/>
    <w:rsid w:val="0DA57AAE"/>
    <w:rsid w:val="0DAA0C63"/>
    <w:rsid w:val="0DB76EF8"/>
    <w:rsid w:val="0DCE36F3"/>
    <w:rsid w:val="0DD208DC"/>
    <w:rsid w:val="0DD621E4"/>
    <w:rsid w:val="0DDD2372"/>
    <w:rsid w:val="0DDE1317"/>
    <w:rsid w:val="0DE55D4A"/>
    <w:rsid w:val="0DEE77C3"/>
    <w:rsid w:val="0DF0225F"/>
    <w:rsid w:val="0DF367C2"/>
    <w:rsid w:val="0DFC48AF"/>
    <w:rsid w:val="0DFF2594"/>
    <w:rsid w:val="0E0313B1"/>
    <w:rsid w:val="0E062A96"/>
    <w:rsid w:val="0E0D1A47"/>
    <w:rsid w:val="0E0F3C40"/>
    <w:rsid w:val="0E176FCD"/>
    <w:rsid w:val="0E1C0C6C"/>
    <w:rsid w:val="0E281319"/>
    <w:rsid w:val="0E3217E8"/>
    <w:rsid w:val="0E387AA5"/>
    <w:rsid w:val="0E3F0E9A"/>
    <w:rsid w:val="0E400D03"/>
    <w:rsid w:val="0E485C9B"/>
    <w:rsid w:val="0E5878DC"/>
    <w:rsid w:val="0E5E2B07"/>
    <w:rsid w:val="0E771E51"/>
    <w:rsid w:val="0E796EA0"/>
    <w:rsid w:val="0E7A2A61"/>
    <w:rsid w:val="0E7C0762"/>
    <w:rsid w:val="0E8118C0"/>
    <w:rsid w:val="0E972455"/>
    <w:rsid w:val="0E9A17E3"/>
    <w:rsid w:val="0EA11114"/>
    <w:rsid w:val="0EA35AC0"/>
    <w:rsid w:val="0EA81843"/>
    <w:rsid w:val="0EA92B49"/>
    <w:rsid w:val="0EB34961"/>
    <w:rsid w:val="0EB35C8A"/>
    <w:rsid w:val="0EB869B6"/>
    <w:rsid w:val="0EB9447E"/>
    <w:rsid w:val="0EC11B24"/>
    <w:rsid w:val="0EC468A2"/>
    <w:rsid w:val="0EC812E8"/>
    <w:rsid w:val="0ECA0784"/>
    <w:rsid w:val="0ECC4066"/>
    <w:rsid w:val="0ECE7C5F"/>
    <w:rsid w:val="0ED12B32"/>
    <w:rsid w:val="0EDA48C8"/>
    <w:rsid w:val="0EF75D05"/>
    <w:rsid w:val="0EF957FE"/>
    <w:rsid w:val="0EFE2ACB"/>
    <w:rsid w:val="0F0D240A"/>
    <w:rsid w:val="0F0E2F3A"/>
    <w:rsid w:val="0F12247A"/>
    <w:rsid w:val="0F1D0ECD"/>
    <w:rsid w:val="0F3452E0"/>
    <w:rsid w:val="0F364BC2"/>
    <w:rsid w:val="0F3A630E"/>
    <w:rsid w:val="0F3B1C05"/>
    <w:rsid w:val="0F455F85"/>
    <w:rsid w:val="0F49564D"/>
    <w:rsid w:val="0F4D1918"/>
    <w:rsid w:val="0F5075AE"/>
    <w:rsid w:val="0F521719"/>
    <w:rsid w:val="0F571705"/>
    <w:rsid w:val="0F584757"/>
    <w:rsid w:val="0F6801D8"/>
    <w:rsid w:val="0F6A1108"/>
    <w:rsid w:val="0F704CEF"/>
    <w:rsid w:val="0F7514AB"/>
    <w:rsid w:val="0F7C4621"/>
    <w:rsid w:val="0F7D786D"/>
    <w:rsid w:val="0F7E4DAF"/>
    <w:rsid w:val="0F7E6AED"/>
    <w:rsid w:val="0F80243B"/>
    <w:rsid w:val="0F842AF1"/>
    <w:rsid w:val="0F8E6521"/>
    <w:rsid w:val="0F9A3D44"/>
    <w:rsid w:val="0FA26E81"/>
    <w:rsid w:val="0FA615E1"/>
    <w:rsid w:val="0FAD0019"/>
    <w:rsid w:val="0FAD3299"/>
    <w:rsid w:val="0FB261C9"/>
    <w:rsid w:val="0FB270DE"/>
    <w:rsid w:val="0FB31343"/>
    <w:rsid w:val="0FC12836"/>
    <w:rsid w:val="0FD95333"/>
    <w:rsid w:val="0FEC322B"/>
    <w:rsid w:val="0FEC6EF6"/>
    <w:rsid w:val="10045EE6"/>
    <w:rsid w:val="100C1580"/>
    <w:rsid w:val="100D3B17"/>
    <w:rsid w:val="10154FE6"/>
    <w:rsid w:val="1023666E"/>
    <w:rsid w:val="1035409F"/>
    <w:rsid w:val="1035503C"/>
    <w:rsid w:val="1037078D"/>
    <w:rsid w:val="103806C3"/>
    <w:rsid w:val="103A7991"/>
    <w:rsid w:val="104052A4"/>
    <w:rsid w:val="10413A4E"/>
    <w:rsid w:val="10462479"/>
    <w:rsid w:val="104B2D15"/>
    <w:rsid w:val="104E35FC"/>
    <w:rsid w:val="10545462"/>
    <w:rsid w:val="10613177"/>
    <w:rsid w:val="10674DB0"/>
    <w:rsid w:val="106D678B"/>
    <w:rsid w:val="107374A2"/>
    <w:rsid w:val="10746083"/>
    <w:rsid w:val="10774625"/>
    <w:rsid w:val="107B4809"/>
    <w:rsid w:val="10836F99"/>
    <w:rsid w:val="10886883"/>
    <w:rsid w:val="108A2129"/>
    <w:rsid w:val="10924B2D"/>
    <w:rsid w:val="10953B42"/>
    <w:rsid w:val="109823F6"/>
    <w:rsid w:val="109E7044"/>
    <w:rsid w:val="10B7486E"/>
    <w:rsid w:val="10CC5735"/>
    <w:rsid w:val="10D22322"/>
    <w:rsid w:val="10D679E0"/>
    <w:rsid w:val="10E73223"/>
    <w:rsid w:val="10FA45D2"/>
    <w:rsid w:val="11024527"/>
    <w:rsid w:val="11055247"/>
    <w:rsid w:val="110A4489"/>
    <w:rsid w:val="110E0651"/>
    <w:rsid w:val="11150F62"/>
    <w:rsid w:val="111A28E5"/>
    <w:rsid w:val="112F54D2"/>
    <w:rsid w:val="1133321C"/>
    <w:rsid w:val="113C175C"/>
    <w:rsid w:val="11457D8C"/>
    <w:rsid w:val="11461F96"/>
    <w:rsid w:val="114C3CA8"/>
    <w:rsid w:val="114D3A1D"/>
    <w:rsid w:val="11562BF2"/>
    <w:rsid w:val="11576536"/>
    <w:rsid w:val="11607F73"/>
    <w:rsid w:val="11613A1B"/>
    <w:rsid w:val="116C2EE2"/>
    <w:rsid w:val="11703DE0"/>
    <w:rsid w:val="117561EB"/>
    <w:rsid w:val="117824F0"/>
    <w:rsid w:val="117E2370"/>
    <w:rsid w:val="11800455"/>
    <w:rsid w:val="11827763"/>
    <w:rsid w:val="11847341"/>
    <w:rsid w:val="11996649"/>
    <w:rsid w:val="11AA61BD"/>
    <w:rsid w:val="11AC7561"/>
    <w:rsid w:val="11AE6531"/>
    <w:rsid w:val="11AF439E"/>
    <w:rsid w:val="11B50817"/>
    <w:rsid w:val="11B66269"/>
    <w:rsid w:val="11BA0839"/>
    <w:rsid w:val="11C77310"/>
    <w:rsid w:val="11CA3974"/>
    <w:rsid w:val="11E4369D"/>
    <w:rsid w:val="11EC77D0"/>
    <w:rsid w:val="11EE4F27"/>
    <w:rsid w:val="11F267E8"/>
    <w:rsid w:val="11F427FC"/>
    <w:rsid w:val="12066C25"/>
    <w:rsid w:val="120E4772"/>
    <w:rsid w:val="1210456D"/>
    <w:rsid w:val="12134828"/>
    <w:rsid w:val="12143598"/>
    <w:rsid w:val="121729B6"/>
    <w:rsid w:val="12220941"/>
    <w:rsid w:val="122A6318"/>
    <w:rsid w:val="122C6138"/>
    <w:rsid w:val="123616D6"/>
    <w:rsid w:val="12396B0A"/>
    <w:rsid w:val="123A52C3"/>
    <w:rsid w:val="123E0CDC"/>
    <w:rsid w:val="125139EE"/>
    <w:rsid w:val="125A02CC"/>
    <w:rsid w:val="127222F3"/>
    <w:rsid w:val="127D422E"/>
    <w:rsid w:val="12845278"/>
    <w:rsid w:val="12863AEA"/>
    <w:rsid w:val="128C036A"/>
    <w:rsid w:val="128E70AD"/>
    <w:rsid w:val="129C31CD"/>
    <w:rsid w:val="129D41B7"/>
    <w:rsid w:val="12A04EEB"/>
    <w:rsid w:val="12A45BB3"/>
    <w:rsid w:val="12AC51B9"/>
    <w:rsid w:val="12B1068C"/>
    <w:rsid w:val="12B5075C"/>
    <w:rsid w:val="12BC3C60"/>
    <w:rsid w:val="12C667C3"/>
    <w:rsid w:val="12C77089"/>
    <w:rsid w:val="12CB4026"/>
    <w:rsid w:val="12CB5202"/>
    <w:rsid w:val="12D16C9D"/>
    <w:rsid w:val="12D20ECB"/>
    <w:rsid w:val="12D93C20"/>
    <w:rsid w:val="12DD694C"/>
    <w:rsid w:val="12DF0C5E"/>
    <w:rsid w:val="12E302DA"/>
    <w:rsid w:val="12EC215C"/>
    <w:rsid w:val="12EE6AFD"/>
    <w:rsid w:val="12F074C4"/>
    <w:rsid w:val="12F538D3"/>
    <w:rsid w:val="12F85F0D"/>
    <w:rsid w:val="12F97513"/>
    <w:rsid w:val="12FB7F3D"/>
    <w:rsid w:val="130611C7"/>
    <w:rsid w:val="1306326A"/>
    <w:rsid w:val="130C7624"/>
    <w:rsid w:val="131046DE"/>
    <w:rsid w:val="131065C8"/>
    <w:rsid w:val="131B2229"/>
    <w:rsid w:val="131B463A"/>
    <w:rsid w:val="131D12BF"/>
    <w:rsid w:val="131D5DAE"/>
    <w:rsid w:val="131E5CE7"/>
    <w:rsid w:val="13201939"/>
    <w:rsid w:val="13217B01"/>
    <w:rsid w:val="132625C2"/>
    <w:rsid w:val="13297251"/>
    <w:rsid w:val="132A7435"/>
    <w:rsid w:val="13315EA5"/>
    <w:rsid w:val="13322AD3"/>
    <w:rsid w:val="133B5756"/>
    <w:rsid w:val="133E50CE"/>
    <w:rsid w:val="134904A6"/>
    <w:rsid w:val="134966AC"/>
    <w:rsid w:val="135845C3"/>
    <w:rsid w:val="135F5E4E"/>
    <w:rsid w:val="136A6ABB"/>
    <w:rsid w:val="137F1B10"/>
    <w:rsid w:val="1382164E"/>
    <w:rsid w:val="13913843"/>
    <w:rsid w:val="13920C1D"/>
    <w:rsid w:val="13952EA7"/>
    <w:rsid w:val="13962CE5"/>
    <w:rsid w:val="13A62921"/>
    <w:rsid w:val="13AB3B97"/>
    <w:rsid w:val="13B35E26"/>
    <w:rsid w:val="13B42C01"/>
    <w:rsid w:val="13B445AD"/>
    <w:rsid w:val="13B573B4"/>
    <w:rsid w:val="13B66BD2"/>
    <w:rsid w:val="13BF66BA"/>
    <w:rsid w:val="13CA31CB"/>
    <w:rsid w:val="13CD1105"/>
    <w:rsid w:val="13D27C86"/>
    <w:rsid w:val="13D546F6"/>
    <w:rsid w:val="13D765AD"/>
    <w:rsid w:val="13DC36E2"/>
    <w:rsid w:val="13EC734F"/>
    <w:rsid w:val="13F22B81"/>
    <w:rsid w:val="13FD4FCC"/>
    <w:rsid w:val="13FE285E"/>
    <w:rsid w:val="1410395F"/>
    <w:rsid w:val="141624C3"/>
    <w:rsid w:val="14170205"/>
    <w:rsid w:val="14220CA7"/>
    <w:rsid w:val="142A1C49"/>
    <w:rsid w:val="142E6CAD"/>
    <w:rsid w:val="143802F8"/>
    <w:rsid w:val="143C72A5"/>
    <w:rsid w:val="144442DA"/>
    <w:rsid w:val="144C6544"/>
    <w:rsid w:val="14586750"/>
    <w:rsid w:val="14812D74"/>
    <w:rsid w:val="14836C15"/>
    <w:rsid w:val="14862300"/>
    <w:rsid w:val="148C00A0"/>
    <w:rsid w:val="148D3653"/>
    <w:rsid w:val="149E0A7B"/>
    <w:rsid w:val="14A82A63"/>
    <w:rsid w:val="14A86EA4"/>
    <w:rsid w:val="14AC358C"/>
    <w:rsid w:val="14B37FA7"/>
    <w:rsid w:val="14B76730"/>
    <w:rsid w:val="14BE13BA"/>
    <w:rsid w:val="14C767C8"/>
    <w:rsid w:val="14DE753E"/>
    <w:rsid w:val="14F51028"/>
    <w:rsid w:val="14F549EC"/>
    <w:rsid w:val="14F92549"/>
    <w:rsid w:val="14FB4950"/>
    <w:rsid w:val="14FD4800"/>
    <w:rsid w:val="14FE45D8"/>
    <w:rsid w:val="14FF7362"/>
    <w:rsid w:val="150650CB"/>
    <w:rsid w:val="150E6B8B"/>
    <w:rsid w:val="150E7996"/>
    <w:rsid w:val="15157DF4"/>
    <w:rsid w:val="151B0462"/>
    <w:rsid w:val="151C45D8"/>
    <w:rsid w:val="15290336"/>
    <w:rsid w:val="15297BD7"/>
    <w:rsid w:val="152A6C98"/>
    <w:rsid w:val="152B33E2"/>
    <w:rsid w:val="15303F74"/>
    <w:rsid w:val="155424D6"/>
    <w:rsid w:val="155605E9"/>
    <w:rsid w:val="155B1745"/>
    <w:rsid w:val="155F651D"/>
    <w:rsid w:val="15655F19"/>
    <w:rsid w:val="157348EB"/>
    <w:rsid w:val="157500D8"/>
    <w:rsid w:val="15787FE5"/>
    <w:rsid w:val="157E21FE"/>
    <w:rsid w:val="157E5AA6"/>
    <w:rsid w:val="1587411C"/>
    <w:rsid w:val="159A596D"/>
    <w:rsid w:val="159C57E1"/>
    <w:rsid w:val="15A80FDC"/>
    <w:rsid w:val="15AA7A19"/>
    <w:rsid w:val="15AC5259"/>
    <w:rsid w:val="15AE02B1"/>
    <w:rsid w:val="15AE46FA"/>
    <w:rsid w:val="15AE5475"/>
    <w:rsid w:val="15B06B12"/>
    <w:rsid w:val="15B75136"/>
    <w:rsid w:val="15BE3D9D"/>
    <w:rsid w:val="15C61DCD"/>
    <w:rsid w:val="15D4474D"/>
    <w:rsid w:val="15D7597F"/>
    <w:rsid w:val="160C437B"/>
    <w:rsid w:val="161033BE"/>
    <w:rsid w:val="16160429"/>
    <w:rsid w:val="161C3234"/>
    <w:rsid w:val="163562A4"/>
    <w:rsid w:val="1641433F"/>
    <w:rsid w:val="16472392"/>
    <w:rsid w:val="164B2B96"/>
    <w:rsid w:val="164D6264"/>
    <w:rsid w:val="165511E0"/>
    <w:rsid w:val="165C4863"/>
    <w:rsid w:val="165F5560"/>
    <w:rsid w:val="1663476A"/>
    <w:rsid w:val="166C0D1B"/>
    <w:rsid w:val="166E1C29"/>
    <w:rsid w:val="16727B66"/>
    <w:rsid w:val="167344C7"/>
    <w:rsid w:val="16780DA5"/>
    <w:rsid w:val="16794785"/>
    <w:rsid w:val="168119E9"/>
    <w:rsid w:val="16834245"/>
    <w:rsid w:val="16853FE3"/>
    <w:rsid w:val="168A3277"/>
    <w:rsid w:val="168F5C07"/>
    <w:rsid w:val="1695742C"/>
    <w:rsid w:val="169D1595"/>
    <w:rsid w:val="16A65B92"/>
    <w:rsid w:val="16AA56E3"/>
    <w:rsid w:val="16AC6E85"/>
    <w:rsid w:val="16AD0A57"/>
    <w:rsid w:val="16BA18A0"/>
    <w:rsid w:val="16BD160C"/>
    <w:rsid w:val="16BE109A"/>
    <w:rsid w:val="16C2724F"/>
    <w:rsid w:val="16C41FCF"/>
    <w:rsid w:val="16D359B1"/>
    <w:rsid w:val="16DC6856"/>
    <w:rsid w:val="16E7220A"/>
    <w:rsid w:val="16EC48E0"/>
    <w:rsid w:val="16F7773E"/>
    <w:rsid w:val="16FD7F89"/>
    <w:rsid w:val="170133DA"/>
    <w:rsid w:val="170259E1"/>
    <w:rsid w:val="17026088"/>
    <w:rsid w:val="170353FD"/>
    <w:rsid w:val="17056BCC"/>
    <w:rsid w:val="171053FC"/>
    <w:rsid w:val="1715378E"/>
    <w:rsid w:val="17177592"/>
    <w:rsid w:val="17256955"/>
    <w:rsid w:val="172B6CEB"/>
    <w:rsid w:val="17343071"/>
    <w:rsid w:val="17350245"/>
    <w:rsid w:val="17382580"/>
    <w:rsid w:val="173B535F"/>
    <w:rsid w:val="174D3983"/>
    <w:rsid w:val="17595246"/>
    <w:rsid w:val="175E4288"/>
    <w:rsid w:val="175F6489"/>
    <w:rsid w:val="176276F2"/>
    <w:rsid w:val="17652ACF"/>
    <w:rsid w:val="176C704A"/>
    <w:rsid w:val="17701653"/>
    <w:rsid w:val="177653C5"/>
    <w:rsid w:val="17844C56"/>
    <w:rsid w:val="179559A6"/>
    <w:rsid w:val="17957384"/>
    <w:rsid w:val="17A30F12"/>
    <w:rsid w:val="17B23201"/>
    <w:rsid w:val="17BA48D6"/>
    <w:rsid w:val="17C0378A"/>
    <w:rsid w:val="17C535A1"/>
    <w:rsid w:val="17CC1D1C"/>
    <w:rsid w:val="17CD5EE0"/>
    <w:rsid w:val="17D47D7C"/>
    <w:rsid w:val="17D77CA7"/>
    <w:rsid w:val="17DD34AB"/>
    <w:rsid w:val="17F223D1"/>
    <w:rsid w:val="17FC272C"/>
    <w:rsid w:val="17FE0B0A"/>
    <w:rsid w:val="17FE0C9F"/>
    <w:rsid w:val="17FF3C9D"/>
    <w:rsid w:val="180A527C"/>
    <w:rsid w:val="18157481"/>
    <w:rsid w:val="181B3A35"/>
    <w:rsid w:val="181C29A6"/>
    <w:rsid w:val="18235E85"/>
    <w:rsid w:val="18331DAD"/>
    <w:rsid w:val="183B2636"/>
    <w:rsid w:val="183E4121"/>
    <w:rsid w:val="18420253"/>
    <w:rsid w:val="18450A52"/>
    <w:rsid w:val="18533B98"/>
    <w:rsid w:val="18570CA0"/>
    <w:rsid w:val="186B15D6"/>
    <w:rsid w:val="186C1DBE"/>
    <w:rsid w:val="186C5153"/>
    <w:rsid w:val="186E738D"/>
    <w:rsid w:val="187640ED"/>
    <w:rsid w:val="18804AA7"/>
    <w:rsid w:val="188C4F53"/>
    <w:rsid w:val="18A16B9A"/>
    <w:rsid w:val="18A94FC3"/>
    <w:rsid w:val="18AB1905"/>
    <w:rsid w:val="18AC724D"/>
    <w:rsid w:val="18AF5199"/>
    <w:rsid w:val="18AF7C5B"/>
    <w:rsid w:val="18B417E1"/>
    <w:rsid w:val="18C9246D"/>
    <w:rsid w:val="18CC75E7"/>
    <w:rsid w:val="18D979C0"/>
    <w:rsid w:val="18DE1E44"/>
    <w:rsid w:val="18E22FAB"/>
    <w:rsid w:val="18E67034"/>
    <w:rsid w:val="18E872D7"/>
    <w:rsid w:val="18EA68A3"/>
    <w:rsid w:val="18F06558"/>
    <w:rsid w:val="18F3471F"/>
    <w:rsid w:val="18F931E6"/>
    <w:rsid w:val="18FA042B"/>
    <w:rsid w:val="18FE4771"/>
    <w:rsid w:val="19046384"/>
    <w:rsid w:val="19065891"/>
    <w:rsid w:val="19076765"/>
    <w:rsid w:val="191111C7"/>
    <w:rsid w:val="19191340"/>
    <w:rsid w:val="191A7BCC"/>
    <w:rsid w:val="19200B97"/>
    <w:rsid w:val="19254AA6"/>
    <w:rsid w:val="19267DCF"/>
    <w:rsid w:val="19287BE3"/>
    <w:rsid w:val="192A5704"/>
    <w:rsid w:val="192C599A"/>
    <w:rsid w:val="193774B0"/>
    <w:rsid w:val="19464CCE"/>
    <w:rsid w:val="194A1ACB"/>
    <w:rsid w:val="194C176F"/>
    <w:rsid w:val="19500DD6"/>
    <w:rsid w:val="19521210"/>
    <w:rsid w:val="19537076"/>
    <w:rsid w:val="195621A4"/>
    <w:rsid w:val="19564B19"/>
    <w:rsid w:val="195E2D4F"/>
    <w:rsid w:val="195F336A"/>
    <w:rsid w:val="19614F51"/>
    <w:rsid w:val="19684070"/>
    <w:rsid w:val="196A0432"/>
    <w:rsid w:val="196B2258"/>
    <w:rsid w:val="19720BF1"/>
    <w:rsid w:val="19764535"/>
    <w:rsid w:val="198374F4"/>
    <w:rsid w:val="1989194D"/>
    <w:rsid w:val="19894C83"/>
    <w:rsid w:val="19A7296F"/>
    <w:rsid w:val="19B94DE5"/>
    <w:rsid w:val="19BB7983"/>
    <w:rsid w:val="19CA4702"/>
    <w:rsid w:val="19D76F77"/>
    <w:rsid w:val="19DA3D75"/>
    <w:rsid w:val="19DE7440"/>
    <w:rsid w:val="19ED386F"/>
    <w:rsid w:val="19FF1298"/>
    <w:rsid w:val="1A045B87"/>
    <w:rsid w:val="1A210157"/>
    <w:rsid w:val="1A330D76"/>
    <w:rsid w:val="1A484A02"/>
    <w:rsid w:val="1A4D1CE1"/>
    <w:rsid w:val="1A5760FC"/>
    <w:rsid w:val="1A5B0C0F"/>
    <w:rsid w:val="1A5F7253"/>
    <w:rsid w:val="1A6A0EEA"/>
    <w:rsid w:val="1A6D22C8"/>
    <w:rsid w:val="1A725418"/>
    <w:rsid w:val="1A7A2EF9"/>
    <w:rsid w:val="1A7F4EDC"/>
    <w:rsid w:val="1A813E2C"/>
    <w:rsid w:val="1A8D74B2"/>
    <w:rsid w:val="1A8F2FDB"/>
    <w:rsid w:val="1A960E81"/>
    <w:rsid w:val="1A972C69"/>
    <w:rsid w:val="1A9A0C93"/>
    <w:rsid w:val="1AB02AE4"/>
    <w:rsid w:val="1AB359A1"/>
    <w:rsid w:val="1ABB52D8"/>
    <w:rsid w:val="1ABD31B9"/>
    <w:rsid w:val="1ABF3A95"/>
    <w:rsid w:val="1AC91D4C"/>
    <w:rsid w:val="1ACE2A77"/>
    <w:rsid w:val="1AD03069"/>
    <w:rsid w:val="1AD55B02"/>
    <w:rsid w:val="1AD71252"/>
    <w:rsid w:val="1AD974AF"/>
    <w:rsid w:val="1ADA6731"/>
    <w:rsid w:val="1ADC2627"/>
    <w:rsid w:val="1AF06C95"/>
    <w:rsid w:val="1AF34AE5"/>
    <w:rsid w:val="1AF3712C"/>
    <w:rsid w:val="1AF84C8C"/>
    <w:rsid w:val="1AFA1534"/>
    <w:rsid w:val="1AFE2079"/>
    <w:rsid w:val="1B00502A"/>
    <w:rsid w:val="1B08241D"/>
    <w:rsid w:val="1B082CC4"/>
    <w:rsid w:val="1B0B3B20"/>
    <w:rsid w:val="1B1613A0"/>
    <w:rsid w:val="1B2A7E36"/>
    <w:rsid w:val="1B2F42C3"/>
    <w:rsid w:val="1B324397"/>
    <w:rsid w:val="1B372EB9"/>
    <w:rsid w:val="1B39636C"/>
    <w:rsid w:val="1B40005E"/>
    <w:rsid w:val="1B4268B4"/>
    <w:rsid w:val="1B427936"/>
    <w:rsid w:val="1B5D3106"/>
    <w:rsid w:val="1B7906CE"/>
    <w:rsid w:val="1B7D07F3"/>
    <w:rsid w:val="1B831B2B"/>
    <w:rsid w:val="1B944685"/>
    <w:rsid w:val="1B9A07CB"/>
    <w:rsid w:val="1B9F424A"/>
    <w:rsid w:val="1BA258AE"/>
    <w:rsid w:val="1BA57F07"/>
    <w:rsid w:val="1BAA3905"/>
    <w:rsid w:val="1BAB7953"/>
    <w:rsid w:val="1BB01F6E"/>
    <w:rsid w:val="1BB81DD8"/>
    <w:rsid w:val="1BB848C7"/>
    <w:rsid w:val="1BB86F3A"/>
    <w:rsid w:val="1BCA7505"/>
    <w:rsid w:val="1BD91032"/>
    <w:rsid w:val="1BEF7D4B"/>
    <w:rsid w:val="1BF768CD"/>
    <w:rsid w:val="1BF92025"/>
    <w:rsid w:val="1BF9326D"/>
    <w:rsid w:val="1C036FDA"/>
    <w:rsid w:val="1C05212A"/>
    <w:rsid w:val="1C0730F3"/>
    <w:rsid w:val="1C08111C"/>
    <w:rsid w:val="1C0B33CB"/>
    <w:rsid w:val="1C0B5DF8"/>
    <w:rsid w:val="1C0D0258"/>
    <w:rsid w:val="1C0D60C9"/>
    <w:rsid w:val="1C191CF6"/>
    <w:rsid w:val="1C206F70"/>
    <w:rsid w:val="1C33796F"/>
    <w:rsid w:val="1C341EE3"/>
    <w:rsid w:val="1C441419"/>
    <w:rsid w:val="1C4774DD"/>
    <w:rsid w:val="1C4A45C4"/>
    <w:rsid w:val="1C4B3310"/>
    <w:rsid w:val="1C561E66"/>
    <w:rsid w:val="1C5661AB"/>
    <w:rsid w:val="1C5E3742"/>
    <w:rsid w:val="1C5F23B1"/>
    <w:rsid w:val="1C660240"/>
    <w:rsid w:val="1C663D30"/>
    <w:rsid w:val="1C6825F5"/>
    <w:rsid w:val="1C6D4144"/>
    <w:rsid w:val="1C726EC3"/>
    <w:rsid w:val="1C793EB9"/>
    <w:rsid w:val="1C807142"/>
    <w:rsid w:val="1C90266F"/>
    <w:rsid w:val="1C9A166E"/>
    <w:rsid w:val="1CA16CCE"/>
    <w:rsid w:val="1CAA7318"/>
    <w:rsid w:val="1CAD2752"/>
    <w:rsid w:val="1CB702E9"/>
    <w:rsid w:val="1CBA5B32"/>
    <w:rsid w:val="1CBC3A4C"/>
    <w:rsid w:val="1CBE0F85"/>
    <w:rsid w:val="1CBE5026"/>
    <w:rsid w:val="1CC77B0D"/>
    <w:rsid w:val="1CCD6D74"/>
    <w:rsid w:val="1CD97139"/>
    <w:rsid w:val="1CE13063"/>
    <w:rsid w:val="1CE2616E"/>
    <w:rsid w:val="1CF333A5"/>
    <w:rsid w:val="1CFC5206"/>
    <w:rsid w:val="1D023336"/>
    <w:rsid w:val="1D031DDA"/>
    <w:rsid w:val="1D0B731D"/>
    <w:rsid w:val="1D1D6A68"/>
    <w:rsid w:val="1D1F1D0C"/>
    <w:rsid w:val="1D2054C4"/>
    <w:rsid w:val="1D24658B"/>
    <w:rsid w:val="1D2E77E8"/>
    <w:rsid w:val="1D31028A"/>
    <w:rsid w:val="1D4969F4"/>
    <w:rsid w:val="1D4A62B4"/>
    <w:rsid w:val="1D4C117F"/>
    <w:rsid w:val="1D513E68"/>
    <w:rsid w:val="1D563E2F"/>
    <w:rsid w:val="1D5A17CD"/>
    <w:rsid w:val="1D5C1BF6"/>
    <w:rsid w:val="1D6033FE"/>
    <w:rsid w:val="1D684015"/>
    <w:rsid w:val="1D6F79AF"/>
    <w:rsid w:val="1D714748"/>
    <w:rsid w:val="1D7C6E19"/>
    <w:rsid w:val="1D7E2FA4"/>
    <w:rsid w:val="1D890F61"/>
    <w:rsid w:val="1D8F5B72"/>
    <w:rsid w:val="1D8F6826"/>
    <w:rsid w:val="1D921543"/>
    <w:rsid w:val="1D9C5DA0"/>
    <w:rsid w:val="1D9C7126"/>
    <w:rsid w:val="1D9F462B"/>
    <w:rsid w:val="1DA265B5"/>
    <w:rsid w:val="1DB26ED0"/>
    <w:rsid w:val="1DB835A9"/>
    <w:rsid w:val="1DBA6ED2"/>
    <w:rsid w:val="1DC07A05"/>
    <w:rsid w:val="1DC603E1"/>
    <w:rsid w:val="1DEC45ED"/>
    <w:rsid w:val="1DF26AFF"/>
    <w:rsid w:val="1DF2745E"/>
    <w:rsid w:val="1E093D7D"/>
    <w:rsid w:val="1E150EEF"/>
    <w:rsid w:val="1E1711A5"/>
    <w:rsid w:val="1E1D7E95"/>
    <w:rsid w:val="1E201A27"/>
    <w:rsid w:val="1E224747"/>
    <w:rsid w:val="1E296D83"/>
    <w:rsid w:val="1E304B88"/>
    <w:rsid w:val="1E3E02E7"/>
    <w:rsid w:val="1E3F2459"/>
    <w:rsid w:val="1E4B3373"/>
    <w:rsid w:val="1E6246BE"/>
    <w:rsid w:val="1E6703B7"/>
    <w:rsid w:val="1E680B85"/>
    <w:rsid w:val="1E6B2336"/>
    <w:rsid w:val="1E7845CD"/>
    <w:rsid w:val="1E8028A0"/>
    <w:rsid w:val="1E837733"/>
    <w:rsid w:val="1E8B032D"/>
    <w:rsid w:val="1E8B7AD0"/>
    <w:rsid w:val="1E8E3E30"/>
    <w:rsid w:val="1E9D4737"/>
    <w:rsid w:val="1E9D55A8"/>
    <w:rsid w:val="1EA13E87"/>
    <w:rsid w:val="1EAF4E87"/>
    <w:rsid w:val="1EB50D64"/>
    <w:rsid w:val="1EC11B39"/>
    <w:rsid w:val="1EC80437"/>
    <w:rsid w:val="1ECA245F"/>
    <w:rsid w:val="1ED15DFD"/>
    <w:rsid w:val="1ED874EC"/>
    <w:rsid w:val="1ED94E25"/>
    <w:rsid w:val="1EDA7F91"/>
    <w:rsid w:val="1EDB6C5F"/>
    <w:rsid w:val="1EE36B24"/>
    <w:rsid w:val="1EE6740D"/>
    <w:rsid w:val="1EEC1621"/>
    <w:rsid w:val="1EED7A29"/>
    <w:rsid w:val="1F046C1A"/>
    <w:rsid w:val="1F0D14F3"/>
    <w:rsid w:val="1F141EF2"/>
    <w:rsid w:val="1F217E47"/>
    <w:rsid w:val="1F285871"/>
    <w:rsid w:val="1F303EA7"/>
    <w:rsid w:val="1F30637A"/>
    <w:rsid w:val="1F3111CE"/>
    <w:rsid w:val="1F356646"/>
    <w:rsid w:val="1F3C6AF7"/>
    <w:rsid w:val="1F405E44"/>
    <w:rsid w:val="1F4A3D83"/>
    <w:rsid w:val="1F4E681F"/>
    <w:rsid w:val="1F5324C1"/>
    <w:rsid w:val="1F561E2A"/>
    <w:rsid w:val="1F5E0475"/>
    <w:rsid w:val="1F5E088A"/>
    <w:rsid w:val="1F661994"/>
    <w:rsid w:val="1F672A0E"/>
    <w:rsid w:val="1F6833F6"/>
    <w:rsid w:val="1F68659A"/>
    <w:rsid w:val="1F6C7FDA"/>
    <w:rsid w:val="1F7959F4"/>
    <w:rsid w:val="1F7C19E4"/>
    <w:rsid w:val="1F83562C"/>
    <w:rsid w:val="1F8A5F10"/>
    <w:rsid w:val="1FA12A08"/>
    <w:rsid w:val="1FA82FF9"/>
    <w:rsid w:val="1FAA6179"/>
    <w:rsid w:val="1FAC192E"/>
    <w:rsid w:val="1FAD796D"/>
    <w:rsid w:val="1FB260BE"/>
    <w:rsid w:val="1FB54204"/>
    <w:rsid w:val="1FB63655"/>
    <w:rsid w:val="1FBD7AAE"/>
    <w:rsid w:val="1FBE77B2"/>
    <w:rsid w:val="1FC26AB9"/>
    <w:rsid w:val="1FC4108B"/>
    <w:rsid w:val="1FC46F9E"/>
    <w:rsid w:val="1FC511F0"/>
    <w:rsid w:val="1FC7659B"/>
    <w:rsid w:val="1FD35404"/>
    <w:rsid w:val="1FDA3F1B"/>
    <w:rsid w:val="1FE045AC"/>
    <w:rsid w:val="1FE76FD3"/>
    <w:rsid w:val="1FE91483"/>
    <w:rsid w:val="1FED166B"/>
    <w:rsid w:val="1FF05FBA"/>
    <w:rsid w:val="1FF2649D"/>
    <w:rsid w:val="1FFE7EB3"/>
    <w:rsid w:val="2000119F"/>
    <w:rsid w:val="20007200"/>
    <w:rsid w:val="20023827"/>
    <w:rsid w:val="200D53BE"/>
    <w:rsid w:val="20107ED3"/>
    <w:rsid w:val="201359DF"/>
    <w:rsid w:val="20140382"/>
    <w:rsid w:val="201C304F"/>
    <w:rsid w:val="201C690F"/>
    <w:rsid w:val="20257497"/>
    <w:rsid w:val="20275ED1"/>
    <w:rsid w:val="202D7C82"/>
    <w:rsid w:val="2036470B"/>
    <w:rsid w:val="203B1416"/>
    <w:rsid w:val="203C2005"/>
    <w:rsid w:val="204069AE"/>
    <w:rsid w:val="20420995"/>
    <w:rsid w:val="20447B3E"/>
    <w:rsid w:val="204B0BED"/>
    <w:rsid w:val="204D7AED"/>
    <w:rsid w:val="204F4613"/>
    <w:rsid w:val="204F595B"/>
    <w:rsid w:val="206301A7"/>
    <w:rsid w:val="20642E89"/>
    <w:rsid w:val="2067334B"/>
    <w:rsid w:val="206F7CD5"/>
    <w:rsid w:val="207778B9"/>
    <w:rsid w:val="207E34E5"/>
    <w:rsid w:val="20850EC1"/>
    <w:rsid w:val="20911227"/>
    <w:rsid w:val="2092751F"/>
    <w:rsid w:val="20934FE0"/>
    <w:rsid w:val="209A17A4"/>
    <w:rsid w:val="209E715A"/>
    <w:rsid w:val="20A04F89"/>
    <w:rsid w:val="20A70ABE"/>
    <w:rsid w:val="20B836F9"/>
    <w:rsid w:val="20BD741D"/>
    <w:rsid w:val="20BF422E"/>
    <w:rsid w:val="20C01849"/>
    <w:rsid w:val="20C10077"/>
    <w:rsid w:val="20C261C8"/>
    <w:rsid w:val="20C96FD1"/>
    <w:rsid w:val="20CC2666"/>
    <w:rsid w:val="20CC4FD3"/>
    <w:rsid w:val="20CC7651"/>
    <w:rsid w:val="20D562D7"/>
    <w:rsid w:val="20D957D0"/>
    <w:rsid w:val="20DA5281"/>
    <w:rsid w:val="20DB6325"/>
    <w:rsid w:val="20E35BDE"/>
    <w:rsid w:val="20E416D2"/>
    <w:rsid w:val="20E46D4D"/>
    <w:rsid w:val="20E53EA7"/>
    <w:rsid w:val="20E9348D"/>
    <w:rsid w:val="20EB3474"/>
    <w:rsid w:val="20EF451E"/>
    <w:rsid w:val="20F667B9"/>
    <w:rsid w:val="20F8643A"/>
    <w:rsid w:val="20F90A4D"/>
    <w:rsid w:val="20FB7568"/>
    <w:rsid w:val="21065641"/>
    <w:rsid w:val="210D2CDA"/>
    <w:rsid w:val="211C7EF8"/>
    <w:rsid w:val="212F6A59"/>
    <w:rsid w:val="21306305"/>
    <w:rsid w:val="21320454"/>
    <w:rsid w:val="21330562"/>
    <w:rsid w:val="213D54AD"/>
    <w:rsid w:val="214169BB"/>
    <w:rsid w:val="2144141D"/>
    <w:rsid w:val="214F4863"/>
    <w:rsid w:val="21504A40"/>
    <w:rsid w:val="215132F6"/>
    <w:rsid w:val="215F7E39"/>
    <w:rsid w:val="21616373"/>
    <w:rsid w:val="2163647D"/>
    <w:rsid w:val="216C54DE"/>
    <w:rsid w:val="216E4800"/>
    <w:rsid w:val="217C7971"/>
    <w:rsid w:val="217D44BC"/>
    <w:rsid w:val="21936BCB"/>
    <w:rsid w:val="219619F8"/>
    <w:rsid w:val="219842E4"/>
    <w:rsid w:val="21997056"/>
    <w:rsid w:val="219B2AEE"/>
    <w:rsid w:val="219D3F2A"/>
    <w:rsid w:val="219D625D"/>
    <w:rsid w:val="21A8667F"/>
    <w:rsid w:val="21AB4F6A"/>
    <w:rsid w:val="21AB77F7"/>
    <w:rsid w:val="21AD30AE"/>
    <w:rsid w:val="21B50781"/>
    <w:rsid w:val="21BF03BC"/>
    <w:rsid w:val="21BF480E"/>
    <w:rsid w:val="21CA711F"/>
    <w:rsid w:val="21CB0E2A"/>
    <w:rsid w:val="21D06D34"/>
    <w:rsid w:val="21D372BD"/>
    <w:rsid w:val="21D47A13"/>
    <w:rsid w:val="21D52CEC"/>
    <w:rsid w:val="21D83EFE"/>
    <w:rsid w:val="21F54612"/>
    <w:rsid w:val="21FF67C8"/>
    <w:rsid w:val="21FF71D8"/>
    <w:rsid w:val="22021B37"/>
    <w:rsid w:val="2209399D"/>
    <w:rsid w:val="22100029"/>
    <w:rsid w:val="22101F8E"/>
    <w:rsid w:val="221E498F"/>
    <w:rsid w:val="2225227E"/>
    <w:rsid w:val="222E6801"/>
    <w:rsid w:val="222F381A"/>
    <w:rsid w:val="22315922"/>
    <w:rsid w:val="22343124"/>
    <w:rsid w:val="22463F09"/>
    <w:rsid w:val="224E39DE"/>
    <w:rsid w:val="224E74D0"/>
    <w:rsid w:val="225C1E49"/>
    <w:rsid w:val="22713317"/>
    <w:rsid w:val="227F5037"/>
    <w:rsid w:val="228041D7"/>
    <w:rsid w:val="228A008B"/>
    <w:rsid w:val="228D63FC"/>
    <w:rsid w:val="229A7E25"/>
    <w:rsid w:val="22AA0362"/>
    <w:rsid w:val="22AA773F"/>
    <w:rsid w:val="22B059F5"/>
    <w:rsid w:val="22B06BDB"/>
    <w:rsid w:val="22B63FB8"/>
    <w:rsid w:val="22BA2D5C"/>
    <w:rsid w:val="22BC7DF2"/>
    <w:rsid w:val="22BD19A6"/>
    <w:rsid w:val="22BD504B"/>
    <w:rsid w:val="22D61781"/>
    <w:rsid w:val="22E30977"/>
    <w:rsid w:val="22E95A8D"/>
    <w:rsid w:val="22F017B2"/>
    <w:rsid w:val="22F7088E"/>
    <w:rsid w:val="22F97E5B"/>
    <w:rsid w:val="22FA647A"/>
    <w:rsid w:val="23042520"/>
    <w:rsid w:val="230A2A35"/>
    <w:rsid w:val="230B07F6"/>
    <w:rsid w:val="23143B37"/>
    <w:rsid w:val="231544D3"/>
    <w:rsid w:val="2315496B"/>
    <w:rsid w:val="231637F9"/>
    <w:rsid w:val="23230E78"/>
    <w:rsid w:val="232A7369"/>
    <w:rsid w:val="232C27B2"/>
    <w:rsid w:val="232C343E"/>
    <w:rsid w:val="232E7AA0"/>
    <w:rsid w:val="232F4B8E"/>
    <w:rsid w:val="233027B0"/>
    <w:rsid w:val="23415924"/>
    <w:rsid w:val="23566DDF"/>
    <w:rsid w:val="23572E7E"/>
    <w:rsid w:val="235924CA"/>
    <w:rsid w:val="23592D87"/>
    <w:rsid w:val="235F162F"/>
    <w:rsid w:val="23673863"/>
    <w:rsid w:val="236758A8"/>
    <w:rsid w:val="236A053E"/>
    <w:rsid w:val="236D4F13"/>
    <w:rsid w:val="23752F81"/>
    <w:rsid w:val="237B7D6C"/>
    <w:rsid w:val="237F3007"/>
    <w:rsid w:val="23837B67"/>
    <w:rsid w:val="23857493"/>
    <w:rsid w:val="238755B6"/>
    <w:rsid w:val="23885214"/>
    <w:rsid w:val="238B65DE"/>
    <w:rsid w:val="239130F2"/>
    <w:rsid w:val="239A010A"/>
    <w:rsid w:val="239B728F"/>
    <w:rsid w:val="23AE6E9E"/>
    <w:rsid w:val="23BA022A"/>
    <w:rsid w:val="23BD6F6C"/>
    <w:rsid w:val="23C62FD3"/>
    <w:rsid w:val="23C80F4A"/>
    <w:rsid w:val="23CE5D21"/>
    <w:rsid w:val="23D160BB"/>
    <w:rsid w:val="23D33566"/>
    <w:rsid w:val="23D547F6"/>
    <w:rsid w:val="23D9762E"/>
    <w:rsid w:val="23DF2C6B"/>
    <w:rsid w:val="23E52298"/>
    <w:rsid w:val="23F06611"/>
    <w:rsid w:val="240E5D2B"/>
    <w:rsid w:val="24137B5B"/>
    <w:rsid w:val="24165CB9"/>
    <w:rsid w:val="24176341"/>
    <w:rsid w:val="241925AD"/>
    <w:rsid w:val="24194B93"/>
    <w:rsid w:val="24211333"/>
    <w:rsid w:val="242461D7"/>
    <w:rsid w:val="24255B0A"/>
    <w:rsid w:val="242778EB"/>
    <w:rsid w:val="242A43E1"/>
    <w:rsid w:val="242C04D9"/>
    <w:rsid w:val="242E2FF6"/>
    <w:rsid w:val="242E7ECB"/>
    <w:rsid w:val="243E6A2B"/>
    <w:rsid w:val="24401E98"/>
    <w:rsid w:val="244F2484"/>
    <w:rsid w:val="24506BD9"/>
    <w:rsid w:val="2456340C"/>
    <w:rsid w:val="24574CEB"/>
    <w:rsid w:val="245D41D2"/>
    <w:rsid w:val="246234DA"/>
    <w:rsid w:val="24656690"/>
    <w:rsid w:val="24667266"/>
    <w:rsid w:val="24731A96"/>
    <w:rsid w:val="247A5C3A"/>
    <w:rsid w:val="247C2E7B"/>
    <w:rsid w:val="247C5EE2"/>
    <w:rsid w:val="247C7B9E"/>
    <w:rsid w:val="247F6CC6"/>
    <w:rsid w:val="24837A35"/>
    <w:rsid w:val="248654B3"/>
    <w:rsid w:val="248907B2"/>
    <w:rsid w:val="249A5E20"/>
    <w:rsid w:val="249C2676"/>
    <w:rsid w:val="249C6208"/>
    <w:rsid w:val="249E39E8"/>
    <w:rsid w:val="24A20ED0"/>
    <w:rsid w:val="24A34E4A"/>
    <w:rsid w:val="24AC41BF"/>
    <w:rsid w:val="24B12E8D"/>
    <w:rsid w:val="24B93780"/>
    <w:rsid w:val="24BD38BA"/>
    <w:rsid w:val="24C0685F"/>
    <w:rsid w:val="24CD6DBE"/>
    <w:rsid w:val="24D20A06"/>
    <w:rsid w:val="24D51CDF"/>
    <w:rsid w:val="24E036A6"/>
    <w:rsid w:val="24E57853"/>
    <w:rsid w:val="24F17428"/>
    <w:rsid w:val="250253B9"/>
    <w:rsid w:val="250C5C6A"/>
    <w:rsid w:val="25176627"/>
    <w:rsid w:val="251E0656"/>
    <w:rsid w:val="252053F9"/>
    <w:rsid w:val="25304AD5"/>
    <w:rsid w:val="25395126"/>
    <w:rsid w:val="254520AA"/>
    <w:rsid w:val="25467DBB"/>
    <w:rsid w:val="25473E3C"/>
    <w:rsid w:val="254C4068"/>
    <w:rsid w:val="254E34FC"/>
    <w:rsid w:val="25515E07"/>
    <w:rsid w:val="25584ADE"/>
    <w:rsid w:val="255A4670"/>
    <w:rsid w:val="255E0BEA"/>
    <w:rsid w:val="256343AC"/>
    <w:rsid w:val="25771B32"/>
    <w:rsid w:val="257C1A72"/>
    <w:rsid w:val="257F18B5"/>
    <w:rsid w:val="25805FF5"/>
    <w:rsid w:val="258A3283"/>
    <w:rsid w:val="258E66DC"/>
    <w:rsid w:val="258F15BB"/>
    <w:rsid w:val="259231BD"/>
    <w:rsid w:val="25A77DD4"/>
    <w:rsid w:val="25AB5048"/>
    <w:rsid w:val="25AE0C1E"/>
    <w:rsid w:val="25BB6C64"/>
    <w:rsid w:val="25C87522"/>
    <w:rsid w:val="25C97301"/>
    <w:rsid w:val="25CC4C1C"/>
    <w:rsid w:val="25CD7961"/>
    <w:rsid w:val="25D64403"/>
    <w:rsid w:val="25EB7CD4"/>
    <w:rsid w:val="25F04B7D"/>
    <w:rsid w:val="25F51596"/>
    <w:rsid w:val="25F67042"/>
    <w:rsid w:val="26015F29"/>
    <w:rsid w:val="260A55DA"/>
    <w:rsid w:val="260B255C"/>
    <w:rsid w:val="2611495B"/>
    <w:rsid w:val="2618762A"/>
    <w:rsid w:val="26217848"/>
    <w:rsid w:val="262E20E8"/>
    <w:rsid w:val="262E34C1"/>
    <w:rsid w:val="262F5277"/>
    <w:rsid w:val="263554C0"/>
    <w:rsid w:val="263E0775"/>
    <w:rsid w:val="2640682F"/>
    <w:rsid w:val="26420131"/>
    <w:rsid w:val="26472F6E"/>
    <w:rsid w:val="264F2FA3"/>
    <w:rsid w:val="26510DB8"/>
    <w:rsid w:val="26531A21"/>
    <w:rsid w:val="26626905"/>
    <w:rsid w:val="26667EB2"/>
    <w:rsid w:val="266B1FB8"/>
    <w:rsid w:val="267B7FD0"/>
    <w:rsid w:val="267E518B"/>
    <w:rsid w:val="26872779"/>
    <w:rsid w:val="26874AF8"/>
    <w:rsid w:val="2689029B"/>
    <w:rsid w:val="26993F8A"/>
    <w:rsid w:val="269B3F13"/>
    <w:rsid w:val="26A17EEF"/>
    <w:rsid w:val="26A4288C"/>
    <w:rsid w:val="26A63366"/>
    <w:rsid w:val="26A968B5"/>
    <w:rsid w:val="26AC5BFD"/>
    <w:rsid w:val="26BA59F2"/>
    <w:rsid w:val="26C36DE5"/>
    <w:rsid w:val="26C9404D"/>
    <w:rsid w:val="26CD53A8"/>
    <w:rsid w:val="26D323BB"/>
    <w:rsid w:val="26D45590"/>
    <w:rsid w:val="26F40E3F"/>
    <w:rsid w:val="26F40EBD"/>
    <w:rsid w:val="26F85687"/>
    <w:rsid w:val="26FA2DE3"/>
    <w:rsid w:val="26FC2217"/>
    <w:rsid w:val="26FF74CD"/>
    <w:rsid w:val="27081696"/>
    <w:rsid w:val="27125B0D"/>
    <w:rsid w:val="27130E1A"/>
    <w:rsid w:val="27222699"/>
    <w:rsid w:val="272A3F42"/>
    <w:rsid w:val="273216D6"/>
    <w:rsid w:val="273D1CBA"/>
    <w:rsid w:val="27462901"/>
    <w:rsid w:val="2749419F"/>
    <w:rsid w:val="274A7B1A"/>
    <w:rsid w:val="274C7EA9"/>
    <w:rsid w:val="275439E1"/>
    <w:rsid w:val="275658F1"/>
    <w:rsid w:val="275A3FBF"/>
    <w:rsid w:val="276320D7"/>
    <w:rsid w:val="278A6416"/>
    <w:rsid w:val="279408D2"/>
    <w:rsid w:val="279A2ED3"/>
    <w:rsid w:val="27A23025"/>
    <w:rsid w:val="27A46397"/>
    <w:rsid w:val="27B02558"/>
    <w:rsid w:val="27B03EC1"/>
    <w:rsid w:val="27B91021"/>
    <w:rsid w:val="27C06D17"/>
    <w:rsid w:val="27C66099"/>
    <w:rsid w:val="27CA7CDA"/>
    <w:rsid w:val="27E53797"/>
    <w:rsid w:val="27FE4240"/>
    <w:rsid w:val="280008FF"/>
    <w:rsid w:val="28050D91"/>
    <w:rsid w:val="281035C6"/>
    <w:rsid w:val="28140E2A"/>
    <w:rsid w:val="28255041"/>
    <w:rsid w:val="283832F0"/>
    <w:rsid w:val="283A1E3E"/>
    <w:rsid w:val="283B2B52"/>
    <w:rsid w:val="284543A1"/>
    <w:rsid w:val="28553E1D"/>
    <w:rsid w:val="28693318"/>
    <w:rsid w:val="286B3B61"/>
    <w:rsid w:val="28765DD5"/>
    <w:rsid w:val="287E58AF"/>
    <w:rsid w:val="28821314"/>
    <w:rsid w:val="288C246D"/>
    <w:rsid w:val="2891501A"/>
    <w:rsid w:val="28937E6D"/>
    <w:rsid w:val="28A66523"/>
    <w:rsid w:val="28AD2029"/>
    <w:rsid w:val="28AE4FA7"/>
    <w:rsid w:val="28B02D2C"/>
    <w:rsid w:val="28B220F4"/>
    <w:rsid w:val="28C075A4"/>
    <w:rsid w:val="28CE2A8C"/>
    <w:rsid w:val="28D139F1"/>
    <w:rsid w:val="28D4119A"/>
    <w:rsid w:val="28D5169B"/>
    <w:rsid w:val="28DA6C60"/>
    <w:rsid w:val="28DB0A30"/>
    <w:rsid w:val="28E7672E"/>
    <w:rsid w:val="28F33F0D"/>
    <w:rsid w:val="28F72DB8"/>
    <w:rsid w:val="28F95F71"/>
    <w:rsid w:val="28FE6A8A"/>
    <w:rsid w:val="290517ED"/>
    <w:rsid w:val="290753B9"/>
    <w:rsid w:val="291415DC"/>
    <w:rsid w:val="29160AC9"/>
    <w:rsid w:val="291712DF"/>
    <w:rsid w:val="29192BE8"/>
    <w:rsid w:val="291C432F"/>
    <w:rsid w:val="291D21EF"/>
    <w:rsid w:val="29264B1F"/>
    <w:rsid w:val="292A375F"/>
    <w:rsid w:val="29316984"/>
    <w:rsid w:val="293310A0"/>
    <w:rsid w:val="2938092A"/>
    <w:rsid w:val="293966D9"/>
    <w:rsid w:val="29425246"/>
    <w:rsid w:val="2946144E"/>
    <w:rsid w:val="2946760C"/>
    <w:rsid w:val="294A5BC8"/>
    <w:rsid w:val="29504176"/>
    <w:rsid w:val="29586514"/>
    <w:rsid w:val="296865F6"/>
    <w:rsid w:val="296B20A7"/>
    <w:rsid w:val="297D1A8B"/>
    <w:rsid w:val="297F6ED3"/>
    <w:rsid w:val="29981CF5"/>
    <w:rsid w:val="299D117F"/>
    <w:rsid w:val="29A4634A"/>
    <w:rsid w:val="29A84DD1"/>
    <w:rsid w:val="29AA2390"/>
    <w:rsid w:val="29B85AFC"/>
    <w:rsid w:val="29BB74AF"/>
    <w:rsid w:val="29BC2AA4"/>
    <w:rsid w:val="29CD2270"/>
    <w:rsid w:val="29D22D87"/>
    <w:rsid w:val="29D41CC3"/>
    <w:rsid w:val="29DA58FD"/>
    <w:rsid w:val="29DB020F"/>
    <w:rsid w:val="29E64370"/>
    <w:rsid w:val="29E765AE"/>
    <w:rsid w:val="29EB2636"/>
    <w:rsid w:val="29ED4F50"/>
    <w:rsid w:val="29F26903"/>
    <w:rsid w:val="2A06427E"/>
    <w:rsid w:val="2A0F1A72"/>
    <w:rsid w:val="2A0F7591"/>
    <w:rsid w:val="2A13176E"/>
    <w:rsid w:val="2A216713"/>
    <w:rsid w:val="2A220953"/>
    <w:rsid w:val="2A222BC6"/>
    <w:rsid w:val="2A3B063B"/>
    <w:rsid w:val="2A464AE5"/>
    <w:rsid w:val="2A49761F"/>
    <w:rsid w:val="2A4C74B8"/>
    <w:rsid w:val="2A4F49D1"/>
    <w:rsid w:val="2A500712"/>
    <w:rsid w:val="2A627A42"/>
    <w:rsid w:val="2A630308"/>
    <w:rsid w:val="2A676AD0"/>
    <w:rsid w:val="2A687AA6"/>
    <w:rsid w:val="2A6A2073"/>
    <w:rsid w:val="2A770CC7"/>
    <w:rsid w:val="2A7A022E"/>
    <w:rsid w:val="2A7D3DFE"/>
    <w:rsid w:val="2A8A27A6"/>
    <w:rsid w:val="2A8B1FCC"/>
    <w:rsid w:val="2A913D35"/>
    <w:rsid w:val="2A9303DF"/>
    <w:rsid w:val="2A9A66D4"/>
    <w:rsid w:val="2AA12DD3"/>
    <w:rsid w:val="2AAA29AB"/>
    <w:rsid w:val="2AAC36BD"/>
    <w:rsid w:val="2AAD2317"/>
    <w:rsid w:val="2AB04937"/>
    <w:rsid w:val="2AB86677"/>
    <w:rsid w:val="2ABC048B"/>
    <w:rsid w:val="2ABC2E55"/>
    <w:rsid w:val="2AC90132"/>
    <w:rsid w:val="2ACF5AEC"/>
    <w:rsid w:val="2AD62AB0"/>
    <w:rsid w:val="2ADC1447"/>
    <w:rsid w:val="2ADE1583"/>
    <w:rsid w:val="2AE70523"/>
    <w:rsid w:val="2AEB3F3B"/>
    <w:rsid w:val="2AED6A07"/>
    <w:rsid w:val="2AF12CDF"/>
    <w:rsid w:val="2AF27DCB"/>
    <w:rsid w:val="2B0726A6"/>
    <w:rsid w:val="2B0C6B23"/>
    <w:rsid w:val="2B0D3C71"/>
    <w:rsid w:val="2B0F1A88"/>
    <w:rsid w:val="2B1D6F4B"/>
    <w:rsid w:val="2B2D1363"/>
    <w:rsid w:val="2B3032BB"/>
    <w:rsid w:val="2B306C2A"/>
    <w:rsid w:val="2B334E6C"/>
    <w:rsid w:val="2B335E16"/>
    <w:rsid w:val="2B350A8A"/>
    <w:rsid w:val="2B42025A"/>
    <w:rsid w:val="2B450516"/>
    <w:rsid w:val="2B4526E2"/>
    <w:rsid w:val="2B4722C4"/>
    <w:rsid w:val="2B4F3C6E"/>
    <w:rsid w:val="2B592A46"/>
    <w:rsid w:val="2B5B7165"/>
    <w:rsid w:val="2B611B55"/>
    <w:rsid w:val="2B686C09"/>
    <w:rsid w:val="2B773D2F"/>
    <w:rsid w:val="2B795BD8"/>
    <w:rsid w:val="2B8759DF"/>
    <w:rsid w:val="2B8B34AB"/>
    <w:rsid w:val="2B8C6A2F"/>
    <w:rsid w:val="2B914C5E"/>
    <w:rsid w:val="2BA252E6"/>
    <w:rsid w:val="2BB44220"/>
    <w:rsid w:val="2BB61EA7"/>
    <w:rsid w:val="2BBA6EF5"/>
    <w:rsid w:val="2BC01081"/>
    <w:rsid w:val="2BC03979"/>
    <w:rsid w:val="2BC44550"/>
    <w:rsid w:val="2BC6496E"/>
    <w:rsid w:val="2BC941AF"/>
    <w:rsid w:val="2BDC02CD"/>
    <w:rsid w:val="2BE64A3E"/>
    <w:rsid w:val="2BEC4F7F"/>
    <w:rsid w:val="2BF01DD3"/>
    <w:rsid w:val="2BF51B27"/>
    <w:rsid w:val="2C11705A"/>
    <w:rsid w:val="2C1216FD"/>
    <w:rsid w:val="2C19643E"/>
    <w:rsid w:val="2C1F2C4F"/>
    <w:rsid w:val="2C253658"/>
    <w:rsid w:val="2C395B9E"/>
    <w:rsid w:val="2C416890"/>
    <w:rsid w:val="2C4725E8"/>
    <w:rsid w:val="2C4D767D"/>
    <w:rsid w:val="2C516786"/>
    <w:rsid w:val="2C5514C6"/>
    <w:rsid w:val="2C5B6D3D"/>
    <w:rsid w:val="2C5C2032"/>
    <w:rsid w:val="2C5E21B4"/>
    <w:rsid w:val="2C5F0C97"/>
    <w:rsid w:val="2C677A44"/>
    <w:rsid w:val="2C6B4038"/>
    <w:rsid w:val="2C7164C9"/>
    <w:rsid w:val="2C72088D"/>
    <w:rsid w:val="2C754048"/>
    <w:rsid w:val="2C7A3BB0"/>
    <w:rsid w:val="2C7B3727"/>
    <w:rsid w:val="2C7D6665"/>
    <w:rsid w:val="2C7E4570"/>
    <w:rsid w:val="2C865A05"/>
    <w:rsid w:val="2C8B0557"/>
    <w:rsid w:val="2C9A28D3"/>
    <w:rsid w:val="2CBC4209"/>
    <w:rsid w:val="2CC12D54"/>
    <w:rsid w:val="2CC9742A"/>
    <w:rsid w:val="2CCB3003"/>
    <w:rsid w:val="2CDA4FDA"/>
    <w:rsid w:val="2CDC7091"/>
    <w:rsid w:val="2CE128DC"/>
    <w:rsid w:val="2CE16D71"/>
    <w:rsid w:val="2CEF71FF"/>
    <w:rsid w:val="2CF4201A"/>
    <w:rsid w:val="2CFD5C64"/>
    <w:rsid w:val="2D0128E8"/>
    <w:rsid w:val="2D0450C7"/>
    <w:rsid w:val="2D0C5A2F"/>
    <w:rsid w:val="2D0E231B"/>
    <w:rsid w:val="2D145154"/>
    <w:rsid w:val="2D154754"/>
    <w:rsid w:val="2D1A1A6B"/>
    <w:rsid w:val="2D1A4915"/>
    <w:rsid w:val="2D260A0A"/>
    <w:rsid w:val="2D306B85"/>
    <w:rsid w:val="2D323D75"/>
    <w:rsid w:val="2D400A9F"/>
    <w:rsid w:val="2D540857"/>
    <w:rsid w:val="2D590555"/>
    <w:rsid w:val="2D726428"/>
    <w:rsid w:val="2D7A06F1"/>
    <w:rsid w:val="2D8151A4"/>
    <w:rsid w:val="2DA02E9C"/>
    <w:rsid w:val="2DBB1852"/>
    <w:rsid w:val="2DBB5667"/>
    <w:rsid w:val="2DBE5F50"/>
    <w:rsid w:val="2DBF0C3E"/>
    <w:rsid w:val="2DBF1601"/>
    <w:rsid w:val="2DBF4C3A"/>
    <w:rsid w:val="2DC464AC"/>
    <w:rsid w:val="2DD06AF3"/>
    <w:rsid w:val="2DDD1D4C"/>
    <w:rsid w:val="2DF04CFF"/>
    <w:rsid w:val="2DF2549F"/>
    <w:rsid w:val="2DF6091F"/>
    <w:rsid w:val="2DF77C3F"/>
    <w:rsid w:val="2DFA6574"/>
    <w:rsid w:val="2DFB6F69"/>
    <w:rsid w:val="2E001622"/>
    <w:rsid w:val="2E040A80"/>
    <w:rsid w:val="2E095C19"/>
    <w:rsid w:val="2E0F3A78"/>
    <w:rsid w:val="2E1530A6"/>
    <w:rsid w:val="2E160B5E"/>
    <w:rsid w:val="2E1859B1"/>
    <w:rsid w:val="2E190FE7"/>
    <w:rsid w:val="2E2630D7"/>
    <w:rsid w:val="2E2806DD"/>
    <w:rsid w:val="2E2A4425"/>
    <w:rsid w:val="2E2F3046"/>
    <w:rsid w:val="2E302808"/>
    <w:rsid w:val="2E3A3030"/>
    <w:rsid w:val="2E3C084B"/>
    <w:rsid w:val="2E3F5541"/>
    <w:rsid w:val="2E46069F"/>
    <w:rsid w:val="2E5608F9"/>
    <w:rsid w:val="2E59206F"/>
    <w:rsid w:val="2E6B29AA"/>
    <w:rsid w:val="2E6F4813"/>
    <w:rsid w:val="2E705752"/>
    <w:rsid w:val="2E7622E7"/>
    <w:rsid w:val="2E7A5E34"/>
    <w:rsid w:val="2E7B65BB"/>
    <w:rsid w:val="2E855C37"/>
    <w:rsid w:val="2E877B3D"/>
    <w:rsid w:val="2E8863A8"/>
    <w:rsid w:val="2E8F09A4"/>
    <w:rsid w:val="2E993370"/>
    <w:rsid w:val="2E9A086A"/>
    <w:rsid w:val="2EA049A8"/>
    <w:rsid w:val="2EA26ABE"/>
    <w:rsid w:val="2EA72F10"/>
    <w:rsid w:val="2EA74B75"/>
    <w:rsid w:val="2EB61295"/>
    <w:rsid w:val="2EB67E5D"/>
    <w:rsid w:val="2EC414ED"/>
    <w:rsid w:val="2EC71A13"/>
    <w:rsid w:val="2ED24577"/>
    <w:rsid w:val="2EDC714E"/>
    <w:rsid w:val="2EEA307E"/>
    <w:rsid w:val="2EED01C8"/>
    <w:rsid w:val="2EEF6737"/>
    <w:rsid w:val="2EF276DC"/>
    <w:rsid w:val="2EF53C20"/>
    <w:rsid w:val="2EFC5DDD"/>
    <w:rsid w:val="2F002CCF"/>
    <w:rsid w:val="2F0160A3"/>
    <w:rsid w:val="2F04528D"/>
    <w:rsid w:val="2F18561C"/>
    <w:rsid w:val="2F1A491A"/>
    <w:rsid w:val="2F2960CC"/>
    <w:rsid w:val="2F2F3D52"/>
    <w:rsid w:val="2F3B7B8B"/>
    <w:rsid w:val="2F44254B"/>
    <w:rsid w:val="2F4530B9"/>
    <w:rsid w:val="2F4B7821"/>
    <w:rsid w:val="2F526911"/>
    <w:rsid w:val="2F5741FD"/>
    <w:rsid w:val="2F57587A"/>
    <w:rsid w:val="2F5E1A24"/>
    <w:rsid w:val="2F615954"/>
    <w:rsid w:val="2F712CF7"/>
    <w:rsid w:val="2F7E7309"/>
    <w:rsid w:val="2F805714"/>
    <w:rsid w:val="2F8640C4"/>
    <w:rsid w:val="2F8E5F5C"/>
    <w:rsid w:val="2F921FAC"/>
    <w:rsid w:val="2FA17D6D"/>
    <w:rsid w:val="2FA21231"/>
    <w:rsid w:val="2FAD4759"/>
    <w:rsid w:val="2FAD5866"/>
    <w:rsid w:val="2FAF39EC"/>
    <w:rsid w:val="2FCA0967"/>
    <w:rsid w:val="2FCA6BDC"/>
    <w:rsid w:val="2FD84674"/>
    <w:rsid w:val="2FDB17E1"/>
    <w:rsid w:val="2FE20568"/>
    <w:rsid w:val="2FE33EAC"/>
    <w:rsid w:val="2FE37171"/>
    <w:rsid w:val="2FE4699B"/>
    <w:rsid w:val="2FF117AD"/>
    <w:rsid w:val="2FF17999"/>
    <w:rsid w:val="2FF40BAE"/>
    <w:rsid w:val="2FF95633"/>
    <w:rsid w:val="30010F70"/>
    <w:rsid w:val="300F7F13"/>
    <w:rsid w:val="30140148"/>
    <w:rsid w:val="30151A88"/>
    <w:rsid w:val="301E3C00"/>
    <w:rsid w:val="302757BF"/>
    <w:rsid w:val="302E1CAD"/>
    <w:rsid w:val="303F41B8"/>
    <w:rsid w:val="303F616B"/>
    <w:rsid w:val="3045713F"/>
    <w:rsid w:val="30486EA7"/>
    <w:rsid w:val="30500A5C"/>
    <w:rsid w:val="30752E77"/>
    <w:rsid w:val="308018A6"/>
    <w:rsid w:val="30804E19"/>
    <w:rsid w:val="3090288F"/>
    <w:rsid w:val="309B0CFB"/>
    <w:rsid w:val="309B2EEC"/>
    <w:rsid w:val="309E4272"/>
    <w:rsid w:val="30AE56DC"/>
    <w:rsid w:val="30B7307E"/>
    <w:rsid w:val="30C21A0E"/>
    <w:rsid w:val="30DC45E8"/>
    <w:rsid w:val="30DD6027"/>
    <w:rsid w:val="30DE16AB"/>
    <w:rsid w:val="30E1221A"/>
    <w:rsid w:val="30E734EF"/>
    <w:rsid w:val="30F24AB3"/>
    <w:rsid w:val="30F44A95"/>
    <w:rsid w:val="30F77A98"/>
    <w:rsid w:val="30FA21D8"/>
    <w:rsid w:val="30FC2A23"/>
    <w:rsid w:val="31197ABC"/>
    <w:rsid w:val="311D5B14"/>
    <w:rsid w:val="312D1F98"/>
    <w:rsid w:val="313A7B85"/>
    <w:rsid w:val="313E22A6"/>
    <w:rsid w:val="31412F85"/>
    <w:rsid w:val="31454E97"/>
    <w:rsid w:val="314A019C"/>
    <w:rsid w:val="314E27D6"/>
    <w:rsid w:val="31514FC5"/>
    <w:rsid w:val="31584385"/>
    <w:rsid w:val="315D7DEC"/>
    <w:rsid w:val="31647576"/>
    <w:rsid w:val="31665E5D"/>
    <w:rsid w:val="31672771"/>
    <w:rsid w:val="316B0F75"/>
    <w:rsid w:val="316D6950"/>
    <w:rsid w:val="31712ADE"/>
    <w:rsid w:val="3171328C"/>
    <w:rsid w:val="317477EC"/>
    <w:rsid w:val="317A322A"/>
    <w:rsid w:val="31822EAF"/>
    <w:rsid w:val="31840D12"/>
    <w:rsid w:val="31846FF6"/>
    <w:rsid w:val="318E27CE"/>
    <w:rsid w:val="319268E9"/>
    <w:rsid w:val="319B3834"/>
    <w:rsid w:val="319C0C07"/>
    <w:rsid w:val="319D284C"/>
    <w:rsid w:val="319D6381"/>
    <w:rsid w:val="31A53A0B"/>
    <w:rsid w:val="31A7307B"/>
    <w:rsid w:val="31A94576"/>
    <w:rsid w:val="31AC2EA3"/>
    <w:rsid w:val="31AE5AA7"/>
    <w:rsid w:val="31B23BA8"/>
    <w:rsid w:val="31B41234"/>
    <w:rsid w:val="31C0712E"/>
    <w:rsid w:val="31C363A1"/>
    <w:rsid w:val="31CA5CF8"/>
    <w:rsid w:val="31CB26CD"/>
    <w:rsid w:val="31D06A52"/>
    <w:rsid w:val="31E302B9"/>
    <w:rsid w:val="31F20023"/>
    <w:rsid w:val="31F536F7"/>
    <w:rsid w:val="31F95C2C"/>
    <w:rsid w:val="31FA7AEE"/>
    <w:rsid w:val="31FB60C5"/>
    <w:rsid w:val="32045E02"/>
    <w:rsid w:val="3209100C"/>
    <w:rsid w:val="321E250B"/>
    <w:rsid w:val="32226597"/>
    <w:rsid w:val="322A5516"/>
    <w:rsid w:val="322C6DC4"/>
    <w:rsid w:val="3230753B"/>
    <w:rsid w:val="3238698E"/>
    <w:rsid w:val="324968A9"/>
    <w:rsid w:val="324F1DD8"/>
    <w:rsid w:val="32544043"/>
    <w:rsid w:val="3259293C"/>
    <w:rsid w:val="325E5514"/>
    <w:rsid w:val="32666821"/>
    <w:rsid w:val="326718A4"/>
    <w:rsid w:val="32694229"/>
    <w:rsid w:val="326A18B1"/>
    <w:rsid w:val="326B7BBB"/>
    <w:rsid w:val="3272101B"/>
    <w:rsid w:val="327A3DD6"/>
    <w:rsid w:val="327D7467"/>
    <w:rsid w:val="327E6AD8"/>
    <w:rsid w:val="32946A84"/>
    <w:rsid w:val="32A87E7A"/>
    <w:rsid w:val="32AA6E8C"/>
    <w:rsid w:val="32B22C9D"/>
    <w:rsid w:val="32BC6631"/>
    <w:rsid w:val="32C05B65"/>
    <w:rsid w:val="32C6418D"/>
    <w:rsid w:val="32D14A7F"/>
    <w:rsid w:val="32D26AE6"/>
    <w:rsid w:val="32D733FA"/>
    <w:rsid w:val="32DE353D"/>
    <w:rsid w:val="32E148E8"/>
    <w:rsid w:val="32E343F6"/>
    <w:rsid w:val="32E921F0"/>
    <w:rsid w:val="32F330D3"/>
    <w:rsid w:val="32F76D5D"/>
    <w:rsid w:val="32F86450"/>
    <w:rsid w:val="330244A4"/>
    <w:rsid w:val="33086783"/>
    <w:rsid w:val="330F1E44"/>
    <w:rsid w:val="331747E7"/>
    <w:rsid w:val="331B37C6"/>
    <w:rsid w:val="331C390F"/>
    <w:rsid w:val="333A0536"/>
    <w:rsid w:val="333E0FE1"/>
    <w:rsid w:val="334D7767"/>
    <w:rsid w:val="334F2840"/>
    <w:rsid w:val="335A59CC"/>
    <w:rsid w:val="335C4346"/>
    <w:rsid w:val="33610DDA"/>
    <w:rsid w:val="3362171F"/>
    <w:rsid w:val="3366319E"/>
    <w:rsid w:val="336C2B69"/>
    <w:rsid w:val="33767D1F"/>
    <w:rsid w:val="337F446B"/>
    <w:rsid w:val="338E29B0"/>
    <w:rsid w:val="33924A39"/>
    <w:rsid w:val="339902E6"/>
    <w:rsid w:val="339D35FC"/>
    <w:rsid w:val="33A156DE"/>
    <w:rsid w:val="33A90DBB"/>
    <w:rsid w:val="33AA2B33"/>
    <w:rsid w:val="33B31E2C"/>
    <w:rsid w:val="33B52233"/>
    <w:rsid w:val="33B70359"/>
    <w:rsid w:val="33BA1B32"/>
    <w:rsid w:val="33CB205A"/>
    <w:rsid w:val="33D451B9"/>
    <w:rsid w:val="33D858B3"/>
    <w:rsid w:val="33E20DF0"/>
    <w:rsid w:val="33E570DD"/>
    <w:rsid w:val="33EE5E44"/>
    <w:rsid w:val="33F66B85"/>
    <w:rsid w:val="33F81D16"/>
    <w:rsid w:val="33FE4E44"/>
    <w:rsid w:val="34004C51"/>
    <w:rsid w:val="34087429"/>
    <w:rsid w:val="340B5F03"/>
    <w:rsid w:val="3411600B"/>
    <w:rsid w:val="341315B5"/>
    <w:rsid w:val="34147AA7"/>
    <w:rsid w:val="341808C3"/>
    <w:rsid w:val="34182B66"/>
    <w:rsid w:val="34260D3D"/>
    <w:rsid w:val="342D198C"/>
    <w:rsid w:val="342D3CE2"/>
    <w:rsid w:val="342F77BD"/>
    <w:rsid w:val="34343D6C"/>
    <w:rsid w:val="34347DC5"/>
    <w:rsid w:val="34380493"/>
    <w:rsid w:val="34463967"/>
    <w:rsid w:val="344C08D2"/>
    <w:rsid w:val="345543D1"/>
    <w:rsid w:val="345A7367"/>
    <w:rsid w:val="345D2CD0"/>
    <w:rsid w:val="346C0AEA"/>
    <w:rsid w:val="3473748E"/>
    <w:rsid w:val="347F540F"/>
    <w:rsid w:val="34860685"/>
    <w:rsid w:val="34863322"/>
    <w:rsid w:val="34885DB3"/>
    <w:rsid w:val="348F7A0E"/>
    <w:rsid w:val="349A0B7D"/>
    <w:rsid w:val="34A83771"/>
    <w:rsid w:val="34A851E8"/>
    <w:rsid w:val="34B476F9"/>
    <w:rsid w:val="34B51A96"/>
    <w:rsid w:val="34C800BD"/>
    <w:rsid w:val="34CC1441"/>
    <w:rsid w:val="34CC1DC7"/>
    <w:rsid w:val="34D47C8A"/>
    <w:rsid w:val="34D874E5"/>
    <w:rsid w:val="34DB0CAC"/>
    <w:rsid w:val="34DD3DF9"/>
    <w:rsid w:val="34DE6678"/>
    <w:rsid w:val="34E972FC"/>
    <w:rsid w:val="34F83EF3"/>
    <w:rsid w:val="34F953E0"/>
    <w:rsid w:val="34FF2166"/>
    <w:rsid w:val="350B69C5"/>
    <w:rsid w:val="351C075B"/>
    <w:rsid w:val="351D7027"/>
    <w:rsid w:val="35233F18"/>
    <w:rsid w:val="3524348B"/>
    <w:rsid w:val="35295D65"/>
    <w:rsid w:val="352B5169"/>
    <w:rsid w:val="35333FF2"/>
    <w:rsid w:val="353C4905"/>
    <w:rsid w:val="353C75ED"/>
    <w:rsid w:val="353E791E"/>
    <w:rsid w:val="354008AB"/>
    <w:rsid w:val="35446D0E"/>
    <w:rsid w:val="354966A2"/>
    <w:rsid w:val="354C7B38"/>
    <w:rsid w:val="354E7911"/>
    <w:rsid w:val="354F28B8"/>
    <w:rsid w:val="35562F9E"/>
    <w:rsid w:val="35581BA8"/>
    <w:rsid w:val="355A4F10"/>
    <w:rsid w:val="355B280E"/>
    <w:rsid w:val="355B3BD4"/>
    <w:rsid w:val="355D687A"/>
    <w:rsid w:val="356161F3"/>
    <w:rsid w:val="35691707"/>
    <w:rsid w:val="35744059"/>
    <w:rsid w:val="35771AC2"/>
    <w:rsid w:val="357960B4"/>
    <w:rsid w:val="35802D08"/>
    <w:rsid w:val="358618B0"/>
    <w:rsid w:val="3589285D"/>
    <w:rsid w:val="359C1F6C"/>
    <w:rsid w:val="35A0338E"/>
    <w:rsid w:val="35A16611"/>
    <w:rsid w:val="35A31A0A"/>
    <w:rsid w:val="35AB5D7D"/>
    <w:rsid w:val="35B31B82"/>
    <w:rsid w:val="35C154C0"/>
    <w:rsid w:val="35C7584B"/>
    <w:rsid w:val="35D31DE1"/>
    <w:rsid w:val="35D801CA"/>
    <w:rsid w:val="35DD2AEE"/>
    <w:rsid w:val="35EA6509"/>
    <w:rsid w:val="35ED04DC"/>
    <w:rsid w:val="35F44E5C"/>
    <w:rsid w:val="35F45994"/>
    <w:rsid w:val="3602050E"/>
    <w:rsid w:val="36101A49"/>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9B380D"/>
    <w:rsid w:val="36A312B2"/>
    <w:rsid w:val="36A9265A"/>
    <w:rsid w:val="36B121C7"/>
    <w:rsid w:val="36B2486C"/>
    <w:rsid w:val="36BA14F4"/>
    <w:rsid w:val="36C13C85"/>
    <w:rsid w:val="36C24FC6"/>
    <w:rsid w:val="36C366A9"/>
    <w:rsid w:val="36D009E5"/>
    <w:rsid w:val="36D27C18"/>
    <w:rsid w:val="36D512A9"/>
    <w:rsid w:val="36D934D3"/>
    <w:rsid w:val="36D94280"/>
    <w:rsid w:val="36DE2053"/>
    <w:rsid w:val="36E07ED3"/>
    <w:rsid w:val="36F414F3"/>
    <w:rsid w:val="37002C93"/>
    <w:rsid w:val="370974B4"/>
    <w:rsid w:val="371A5A8E"/>
    <w:rsid w:val="371B03AE"/>
    <w:rsid w:val="371E6151"/>
    <w:rsid w:val="37277663"/>
    <w:rsid w:val="372918B9"/>
    <w:rsid w:val="372A07F2"/>
    <w:rsid w:val="37357964"/>
    <w:rsid w:val="373D6F58"/>
    <w:rsid w:val="37446333"/>
    <w:rsid w:val="37446A77"/>
    <w:rsid w:val="3745400A"/>
    <w:rsid w:val="374D0B20"/>
    <w:rsid w:val="37557969"/>
    <w:rsid w:val="375D4473"/>
    <w:rsid w:val="37615F3C"/>
    <w:rsid w:val="376B106B"/>
    <w:rsid w:val="377963D6"/>
    <w:rsid w:val="37840F0B"/>
    <w:rsid w:val="378772DD"/>
    <w:rsid w:val="378A731A"/>
    <w:rsid w:val="378E3617"/>
    <w:rsid w:val="37931A90"/>
    <w:rsid w:val="37A4082B"/>
    <w:rsid w:val="37A4627C"/>
    <w:rsid w:val="37A530D5"/>
    <w:rsid w:val="37A643C8"/>
    <w:rsid w:val="37AE534B"/>
    <w:rsid w:val="37B1214B"/>
    <w:rsid w:val="37B5292C"/>
    <w:rsid w:val="37BA6351"/>
    <w:rsid w:val="37C93B72"/>
    <w:rsid w:val="37D644F2"/>
    <w:rsid w:val="37E22653"/>
    <w:rsid w:val="37E74CFA"/>
    <w:rsid w:val="37ED5E3A"/>
    <w:rsid w:val="37EF1B98"/>
    <w:rsid w:val="37F311D3"/>
    <w:rsid w:val="37F7242F"/>
    <w:rsid w:val="37FB5316"/>
    <w:rsid w:val="37FD1EC6"/>
    <w:rsid w:val="380579FE"/>
    <w:rsid w:val="380A2EB4"/>
    <w:rsid w:val="38157509"/>
    <w:rsid w:val="381D5340"/>
    <w:rsid w:val="382115C5"/>
    <w:rsid w:val="382150C9"/>
    <w:rsid w:val="382372FE"/>
    <w:rsid w:val="38284CDE"/>
    <w:rsid w:val="382D297A"/>
    <w:rsid w:val="382F19E6"/>
    <w:rsid w:val="383B2EED"/>
    <w:rsid w:val="384C2D57"/>
    <w:rsid w:val="38557E21"/>
    <w:rsid w:val="3856501D"/>
    <w:rsid w:val="38590DD6"/>
    <w:rsid w:val="385F47DB"/>
    <w:rsid w:val="3865366F"/>
    <w:rsid w:val="38693A96"/>
    <w:rsid w:val="386A1921"/>
    <w:rsid w:val="386B38FB"/>
    <w:rsid w:val="38775820"/>
    <w:rsid w:val="387F0A30"/>
    <w:rsid w:val="38876F05"/>
    <w:rsid w:val="38894DA5"/>
    <w:rsid w:val="389121D9"/>
    <w:rsid w:val="38913DAB"/>
    <w:rsid w:val="38981AB5"/>
    <w:rsid w:val="38A24318"/>
    <w:rsid w:val="38A30506"/>
    <w:rsid w:val="38A40C18"/>
    <w:rsid w:val="38A61C5A"/>
    <w:rsid w:val="38AB306B"/>
    <w:rsid w:val="38B9506E"/>
    <w:rsid w:val="38BF2270"/>
    <w:rsid w:val="38C0788B"/>
    <w:rsid w:val="38C33701"/>
    <w:rsid w:val="38C43916"/>
    <w:rsid w:val="38CA2B83"/>
    <w:rsid w:val="38D05F26"/>
    <w:rsid w:val="38D124F5"/>
    <w:rsid w:val="38D504F4"/>
    <w:rsid w:val="38D95A84"/>
    <w:rsid w:val="38E0393A"/>
    <w:rsid w:val="38E11AA1"/>
    <w:rsid w:val="38E45926"/>
    <w:rsid w:val="38E46191"/>
    <w:rsid w:val="38EB7945"/>
    <w:rsid w:val="38EC260C"/>
    <w:rsid w:val="38F50C85"/>
    <w:rsid w:val="39065A02"/>
    <w:rsid w:val="390946B7"/>
    <w:rsid w:val="39105718"/>
    <w:rsid w:val="392B6A4C"/>
    <w:rsid w:val="393544DD"/>
    <w:rsid w:val="393962EC"/>
    <w:rsid w:val="393F6CD7"/>
    <w:rsid w:val="39457868"/>
    <w:rsid w:val="3946192A"/>
    <w:rsid w:val="3949186A"/>
    <w:rsid w:val="394935B8"/>
    <w:rsid w:val="394C557A"/>
    <w:rsid w:val="395219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2434"/>
    <w:rsid w:val="39DA738E"/>
    <w:rsid w:val="39DC3D4A"/>
    <w:rsid w:val="39DD49C2"/>
    <w:rsid w:val="39DD4ACE"/>
    <w:rsid w:val="39E02BA8"/>
    <w:rsid w:val="39E70CEA"/>
    <w:rsid w:val="39E9070B"/>
    <w:rsid w:val="39EC7454"/>
    <w:rsid w:val="39FD2FB3"/>
    <w:rsid w:val="3A026596"/>
    <w:rsid w:val="3A082ABE"/>
    <w:rsid w:val="3A0E766B"/>
    <w:rsid w:val="3A181AC2"/>
    <w:rsid w:val="3A1A155D"/>
    <w:rsid w:val="3A237175"/>
    <w:rsid w:val="3A300659"/>
    <w:rsid w:val="3A443D4B"/>
    <w:rsid w:val="3A616CAD"/>
    <w:rsid w:val="3A711C68"/>
    <w:rsid w:val="3A7927E8"/>
    <w:rsid w:val="3A796E46"/>
    <w:rsid w:val="3A8B3C77"/>
    <w:rsid w:val="3A971F5B"/>
    <w:rsid w:val="3A9A224E"/>
    <w:rsid w:val="3A9C1F8C"/>
    <w:rsid w:val="3A9D2551"/>
    <w:rsid w:val="3AA15A8E"/>
    <w:rsid w:val="3AA90278"/>
    <w:rsid w:val="3AA97F70"/>
    <w:rsid w:val="3AAA0A20"/>
    <w:rsid w:val="3AAC45FD"/>
    <w:rsid w:val="3AB26A14"/>
    <w:rsid w:val="3AB94248"/>
    <w:rsid w:val="3ABE76C3"/>
    <w:rsid w:val="3ABF42F5"/>
    <w:rsid w:val="3ACB67A4"/>
    <w:rsid w:val="3ACE7D16"/>
    <w:rsid w:val="3AD73D23"/>
    <w:rsid w:val="3AF932C9"/>
    <w:rsid w:val="3AFD37D0"/>
    <w:rsid w:val="3B016EE9"/>
    <w:rsid w:val="3B075C4E"/>
    <w:rsid w:val="3B0C7A7D"/>
    <w:rsid w:val="3B0D67FF"/>
    <w:rsid w:val="3B0E6B93"/>
    <w:rsid w:val="3B130528"/>
    <w:rsid w:val="3B1703B9"/>
    <w:rsid w:val="3B1B0093"/>
    <w:rsid w:val="3B2356A8"/>
    <w:rsid w:val="3B2D161A"/>
    <w:rsid w:val="3B2E7833"/>
    <w:rsid w:val="3B3A132E"/>
    <w:rsid w:val="3B456D7F"/>
    <w:rsid w:val="3B5B2C0F"/>
    <w:rsid w:val="3B5E261D"/>
    <w:rsid w:val="3B5F14B4"/>
    <w:rsid w:val="3B616FBE"/>
    <w:rsid w:val="3B683A4D"/>
    <w:rsid w:val="3B6A3CF4"/>
    <w:rsid w:val="3B6D5AE8"/>
    <w:rsid w:val="3B6E7316"/>
    <w:rsid w:val="3B6F5B73"/>
    <w:rsid w:val="3B70725E"/>
    <w:rsid w:val="3B7B1D0B"/>
    <w:rsid w:val="3B850B78"/>
    <w:rsid w:val="3B873119"/>
    <w:rsid w:val="3B9C2663"/>
    <w:rsid w:val="3B9C285E"/>
    <w:rsid w:val="3BA17E84"/>
    <w:rsid w:val="3BA35FC1"/>
    <w:rsid w:val="3BA566FD"/>
    <w:rsid w:val="3BA7008A"/>
    <w:rsid w:val="3BB47D9F"/>
    <w:rsid w:val="3BB66191"/>
    <w:rsid w:val="3BD039A1"/>
    <w:rsid w:val="3BDE5F43"/>
    <w:rsid w:val="3BE745F7"/>
    <w:rsid w:val="3BF01411"/>
    <w:rsid w:val="3BF10AAD"/>
    <w:rsid w:val="3BFA10FC"/>
    <w:rsid w:val="3C032713"/>
    <w:rsid w:val="3C042946"/>
    <w:rsid w:val="3C070D59"/>
    <w:rsid w:val="3C074961"/>
    <w:rsid w:val="3C091C73"/>
    <w:rsid w:val="3C0E09BE"/>
    <w:rsid w:val="3C0F1954"/>
    <w:rsid w:val="3C1071B6"/>
    <w:rsid w:val="3C1C10F0"/>
    <w:rsid w:val="3C1E391D"/>
    <w:rsid w:val="3C21000D"/>
    <w:rsid w:val="3C237821"/>
    <w:rsid w:val="3C294498"/>
    <w:rsid w:val="3C2D5003"/>
    <w:rsid w:val="3C333216"/>
    <w:rsid w:val="3C36018F"/>
    <w:rsid w:val="3C3A5992"/>
    <w:rsid w:val="3C3B0B4B"/>
    <w:rsid w:val="3C3D016E"/>
    <w:rsid w:val="3C3E1793"/>
    <w:rsid w:val="3C454266"/>
    <w:rsid w:val="3C4864AA"/>
    <w:rsid w:val="3C49796D"/>
    <w:rsid w:val="3C4C4180"/>
    <w:rsid w:val="3C4F7D80"/>
    <w:rsid w:val="3C631D42"/>
    <w:rsid w:val="3C64689F"/>
    <w:rsid w:val="3C6E7D4D"/>
    <w:rsid w:val="3C740DAA"/>
    <w:rsid w:val="3C750E34"/>
    <w:rsid w:val="3C7C060E"/>
    <w:rsid w:val="3C7C08A5"/>
    <w:rsid w:val="3C7E65EC"/>
    <w:rsid w:val="3C812838"/>
    <w:rsid w:val="3C8555A2"/>
    <w:rsid w:val="3C867450"/>
    <w:rsid w:val="3C9E64A0"/>
    <w:rsid w:val="3CA41337"/>
    <w:rsid w:val="3CA95FB0"/>
    <w:rsid w:val="3CAA38C3"/>
    <w:rsid w:val="3CAA5481"/>
    <w:rsid w:val="3CAC1109"/>
    <w:rsid w:val="3CB338D6"/>
    <w:rsid w:val="3CB36CF4"/>
    <w:rsid w:val="3CBA78F5"/>
    <w:rsid w:val="3CBF7818"/>
    <w:rsid w:val="3CC26B63"/>
    <w:rsid w:val="3CCC4D4D"/>
    <w:rsid w:val="3CD71E34"/>
    <w:rsid w:val="3CD93A3D"/>
    <w:rsid w:val="3CDB5D82"/>
    <w:rsid w:val="3CDE394C"/>
    <w:rsid w:val="3CE54B9F"/>
    <w:rsid w:val="3CE556C2"/>
    <w:rsid w:val="3CE86761"/>
    <w:rsid w:val="3CF619DB"/>
    <w:rsid w:val="3CF86E9C"/>
    <w:rsid w:val="3CFD37E7"/>
    <w:rsid w:val="3CFE44BF"/>
    <w:rsid w:val="3D035272"/>
    <w:rsid w:val="3D044675"/>
    <w:rsid w:val="3D0B7E6F"/>
    <w:rsid w:val="3D0F1231"/>
    <w:rsid w:val="3D184661"/>
    <w:rsid w:val="3D200D7C"/>
    <w:rsid w:val="3D211EBB"/>
    <w:rsid w:val="3D233D0C"/>
    <w:rsid w:val="3D261EA2"/>
    <w:rsid w:val="3D272F24"/>
    <w:rsid w:val="3D3662C4"/>
    <w:rsid w:val="3D47670E"/>
    <w:rsid w:val="3D4D7CF8"/>
    <w:rsid w:val="3D58163A"/>
    <w:rsid w:val="3D5A05E2"/>
    <w:rsid w:val="3D5C63D4"/>
    <w:rsid w:val="3D5E50E6"/>
    <w:rsid w:val="3D5F6029"/>
    <w:rsid w:val="3D611CC7"/>
    <w:rsid w:val="3D6223C0"/>
    <w:rsid w:val="3D641D7A"/>
    <w:rsid w:val="3D6F2362"/>
    <w:rsid w:val="3D7618FA"/>
    <w:rsid w:val="3D766E42"/>
    <w:rsid w:val="3D791797"/>
    <w:rsid w:val="3D7C36DB"/>
    <w:rsid w:val="3D832B00"/>
    <w:rsid w:val="3D8522AA"/>
    <w:rsid w:val="3D8A0C19"/>
    <w:rsid w:val="3D9816B4"/>
    <w:rsid w:val="3D990197"/>
    <w:rsid w:val="3D9A0655"/>
    <w:rsid w:val="3DA22306"/>
    <w:rsid w:val="3DB17297"/>
    <w:rsid w:val="3DB752E9"/>
    <w:rsid w:val="3DBB6C89"/>
    <w:rsid w:val="3DCD6921"/>
    <w:rsid w:val="3DD67156"/>
    <w:rsid w:val="3DD745F2"/>
    <w:rsid w:val="3DE37514"/>
    <w:rsid w:val="3DE548AC"/>
    <w:rsid w:val="3DE653F8"/>
    <w:rsid w:val="3DE72673"/>
    <w:rsid w:val="3DEB1255"/>
    <w:rsid w:val="3DEE1FBE"/>
    <w:rsid w:val="3E0448CB"/>
    <w:rsid w:val="3E073B6A"/>
    <w:rsid w:val="3E0918A5"/>
    <w:rsid w:val="3E0F25EA"/>
    <w:rsid w:val="3E146F59"/>
    <w:rsid w:val="3E197897"/>
    <w:rsid w:val="3E22755F"/>
    <w:rsid w:val="3E237BCC"/>
    <w:rsid w:val="3E255AC9"/>
    <w:rsid w:val="3E3419DC"/>
    <w:rsid w:val="3E3C5F3C"/>
    <w:rsid w:val="3E3E306A"/>
    <w:rsid w:val="3E454B0D"/>
    <w:rsid w:val="3E463CA5"/>
    <w:rsid w:val="3E4B2DC3"/>
    <w:rsid w:val="3E583BB7"/>
    <w:rsid w:val="3E5A1D01"/>
    <w:rsid w:val="3E5B12DC"/>
    <w:rsid w:val="3E5E7FF3"/>
    <w:rsid w:val="3E623E46"/>
    <w:rsid w:val="3E63159D"/>
    <w:rsid w:val="3E680BF1"/>
    <w:rsid w:val="3E7A1C88"/>
    <w:rsid w:val="3E8317A2"/>
    <w:rsid w:val="3E8B095A"/>
    <w:rsid w:val="3E8D66A1"/>
    <w:rsid w:val="3E8E6C82"/>
    <w:rsid w:val="3E932121"/>
    <w:rsid w:val="3E942719"/>
    <w:rsid w:val="3E943FDD"/>
    <w:rsid w:val="3E9A19C5"/>
    <w:rsid w:val="3E9E1F00"/>
    <w:rsid w:val="3E9E3078"/>
    <w:rsid w:val="3EAC3BDD"/>
    <w:rsid w:val="3EB767A1"/>
    <w:rsid w:val="3EBB7EC0"/>
    <w:rsid w:val="3EC31440"/>
    <w:rsid w:val="3EC5174F"/>
    <w:rsid w:val="3EC51CAD"/>
    <w:rsid w:val="3EC80A9D"/>
    <w:rsid w:val="3EC945DC"/>
    <w:rsid w:val="3ECD06E3"/>
    <w:rsid w:val="3ECF0F50"/>
    <w:rsid w:val="3ECF234A"/>
    <w:rsid w:val="3ED03828"/>
    <w:rsid w:val="3ED671CD"/>
    <w:rsid w:val="3EE14A57"/>
    <w:rsid w:val="3EE21263"/>
    <w:rsid w:val="3EF36AD8"/>
    <w:rsid w:val="3EF535E4"/>
    <w:rsid w:val="3EF62480"/>
    <w:rsid w:val="3EFB57DC"/>
    <w:rsid w:val="3F0572F1"/>
    <w:rsid w:val="3F065DFA"/>
    <w:rsid w:val="3F1425C6"/>
    <w:rsid w:val="3F144192"/>
    <w:rsid w:val="3F1871AF"/>
    <w:rsid w:val="3F217DDA"/>
    <w:rsid w:val="3F2B184D"/>
    <w:rsid w:val="3F2C7646"/>
    <w:rsid w:val="3F421D47"/>
    <w:rsid w:val="3F441B08"/>
    <w:rsid w:val="3F4A4087"/>
    <w:rsid w:val="3F5361F5"/>
    <w:rsid w:val="3F6B3632"/>
    <w:rsid w:val="3F776E0A"/>
    <w:rsid w:val="3F952814"/>
    <w:rsid w:val="3F9C0821"/>
    <w:rsid w:val="3F9C4022"/>
    <w:rsid w:val="3FA41C63"/>
    <w:rsid w:val="3FAB100B"/>
    <w:rsid w:val="3FAB3D87"/>
    <w:rsid w:val="3FAB41A2"/>
    <w:rsid w:val="3FAE47F6"/>
    <w:rsid w:val="3FAE75A9"/>
    <w:rsid w:val="3FB03D8B"/>
    <w:rsid w:val="3FB77F5A"/>
    <w:rsid w:val="3FD53CFE"/>
    <w:rsid w:val="3FD9316A"/>
    <w:rsid w:val="3FE210C1"/>
    <w:rsid w:val="3FEB1C22"/>
    <w:rsid w:val="3FEE2117"/>
    <w:rsid w:val="3FFA58A6"/>
    <w:rsid w:val="3FFA5C63"/>
    <w:rsid w:val="40073561"/>
    <w:rsid w:val="40083113"/>
    <w:rsid w:val="400A1CFC"/>
    <w:rsid w:val="40111436"/>
    <w:rsid w:val="401D6DEE"/>
    <w:rsid w:val="40372C35"/>
    <w:rsid w:val="403870E4"/>
    <w:rsid w:val="403D7C5C"/>
    <w:rsid w:val="40400533"/>
    <w:rsid w:val="40430016"/>
    <w:rsid w:val="4049754C"/>
    <w:rsid w:val="404B2521"/>
    <w:rsid w:val="404F7DEB"/>
    <w:rsid w:val="40572DA6"/>
    <w:rsid w:val="405A424E"/>
    <w:rsid w:val="40692098"/>
    <w:rsid w:val="406D461C"/>
    <w:rsid w:val="406F7D87"/>
    <w:rsid w:val="40785942"/>
    <w:rsid w:val="40825FDB"/>
    <w:rsid w:val="40836EAD"/>
    <w:rsid w:val="40907287"/>
    <w:rsid w:val="409238F2"/>
    <w:rsid w:val="40953EC0"/>
    <w:rsid w:val="40981598"/>
    <w:rsid w:val="4098345A"/>
    <w:rsid w:val="40AB3054"/>
    <w:rsid w:val="40AE0D2B"/>
    <w:rsid w:val="40AF2B72"/>
    <w:rsid w:val="40BD153A"/>
    <w:rsid w:val="40C3250A"/>
    <w:rsid w:val="40CD7BD8"/>
    <w:rsid w:val="40CE24AF"/>
    <w:rsid w:val="40D07371"/>
    <w:rsid w:val="40D72999"/>
    <w:rsid w:val="40DF3ABC"/>
    <w:rsid w:val="40E44A66"/>
    <w:rsid w:val="40E75AF0"/>
    <w:rsid w:val="40E87142"/>
    <w:rsid w:val="40F00A85"/>
    <w:rsid w:val="40F1013C"/>
    <w:rsid w:val="40F35427"/>
    <w:rsid w:val="40FE1447"/>
    <w:rsid w:val="41021636"/>
    <w:rsid w:val="41053DED"/>
    <w:rsid w:val="412506DF"/>
    <w:rsid w:val="4130390D"/>
    <w:rsid w:val="41341F3C"/>
    <w:rsid w:val="41397A71"/>
    <w:rsid w:val="413B1BAB"/>
    <w:rsid w:val="41434504"/>
    <w:rsid w:val="4149456B"/>
    <w:rsid w:val="414F41D7"/>
    <w:rsid w:val="414F7876"/>
    <w:rsid w:val="41515CEC"/>
    <w:rsid w:val="415A0FEF"/>
    <w:rsid w:val="416279BA"/>
    <w:rsid w:val="41653B51"/>
    <w:rsid w:val="416C15E7"/>
    <w:rsid w:val="416E039C"/>
    <w:rsid w:val="416E1B43"/>
    <w:rsid w:val="417727AB"/>
    <w:rsid w:val="417F7393"/>
    <w:rsid w:val="41800377"/>
    <w:rsid w:val="41804025"/>
    <w:rsid w:val="418B26ED"/>
    <w:rsid w:val="41931531"/>
    <w:rsid w:val="41986119"/>
    <w:rsid w:val="419B3B43"/>
    <w:rsid w:val="41A63744"/>
    <w:rsid w:val="41AC6BA3"/>
    <w:rsid w:val="41AD5F07"/>
    <w:rsid w:val="41B20CD7"/>
    <w:rsid w:val="41B730A3"/>
    <w:rsid w:val="41B737E0"/>
    <w:rsid w:val="41B77B6D"/>
    <w:rsid w:val="41C20F3F"/>
    <w:rsid w:val="41D1580B"/>
    <w:rsid w:val="41D513DA"/>
    <w:rsid w:val="41D57639"/>
    <w:rsid w:val="41DC5EDF"/>
    <w:rsid w:val="41DD05DE"/>
    <w:rsid w:val="41E4117E"/>
    <w:rsid w:val="41F04C42"/>
    <w:rsid w:val="41F07014"/>
    <w:rsid w:val="41F24303"/>
    <w:rsid w:val="41F52080"/>
    <w:rsid w:val="41F94D40"/>
    <w:rsid w:val="42001B5D"/>
    <w:rsid w:val="420850A2"/>
    <w:rsid w:val="421B1059"/>
    <w:rsid w:val="422370F9"/>
    <w:rsid w:val="42243E7D"/>
    <w:rsid w:val="422549BD"/>
    <w:rsid w:val="42294221"/>
    <w:rsid w:val="422C32BD"/>
    <w:rsid w:val="422E207E"/>
    <w:rsid w:val="423038F8"/>
    <w:rsid w:val="424255E1"/>
    <w:rsid w:val="424A277B"/>
    <w:rsid w:val="424C701C"/>
    <w:rsid w:val="42567F87"/>
    <w:rsid w:val="42571AE1"/>
    <w:rsid w:val="42637522"/>
    <w:rsid w:val="42697E79"/>
    <w:rsid w:val="427034C5"/>
    <w:rsid w:val="42730E0D"/>
    <w:rsid w:val="427409B9"/>
    <w:rsid w:val="42831021"/>
    <w:rsid w:val="42863926"/>
    <w:rsid w:val="4287026E"/>
    <w:rsid w:val="42873CB7"/>
    <w:rsid w:val="429110B8"/>
    <w:rsid w:val="4295760D"/>
    <w:rsid w:val="429A29B1"/>
    <w:rsid w:val="429C1606"/>
    <w:rsid w:val="42A87389"/>
    <w:rsid w:val="42B63D6B"/>
    <w:rsid w:val="42B92216"/>
    <w:rsid w:val="42C5796D"/>
    <w:rsid w:val="42D67001"/>
    <w:rsid w:val="42E06A10"/>
    <w:rsid w:val="42EF3BB4"/>
    <w:rsid w:val="42F875D5"/>
    <w:rsid w:val="42F91260"/>
    <w:rsid w:val="42FD1BA5"/>
    <w:rsid w:val="430A5FFD"/>
    <w:rsid w:val="43112BE5"/>
    <w:rsid w:val="43120C73"/>
    <w:rsid w:val="431B56C6"/>
    <w:rsid w:val="431C7B04"/>
    <w:rsid w:val="432466AA"/>
    <w:rsid w:val="43263935"/>
    <w:rsid w:val="432E5E21"/>
    <w:rsid w:val="4334749B"/>
    <w:rsid w:val="4337110A"/>
    <w:rsid w:val="433C41B8"/>
    <w:rsid w:val="433D2335"/>
    <w:rsid w:val="433F57C3"/>
    <w:rsid w:val="43426A44"/>
    <w:rsid w:val="434660C5"/>
    <w:rsid w:val="434B6D16"/>
    <w:rsid w:val="43605DCC"/>
    <w:rsid w:val="43614CEE"/>
    <w:rsid w:val="43621947"/>
    <w:rsid w:val="4363090C"/>
    <w:rsid w:val="43664819"/>
    <w:rsid w:val="4368286E"/>
    <w:rsid w:val="436A2192"/>
    <w:rsid w:val="436C40C2"/>
    <w:rsid w:val="436D7811"/>
    <w:rsid w:val="43790901"/>
    <w:rsid w:val="4380422F"/>
    <w:rsid w:val="438B6310"/>
    <w:rsid w:val="439322F0"/>
    <w:rsid w:val="43964600"/>
    <w:rsid w:val="4397231A"/>
    <w:rsid w:val="439C3431"/>
    <w:rsid w:val="439D0E7C"/>
    <w:rsid w:val="43A26A83"/>
    <w:rsid w:val="43A41643"/>
    <w:rsid w:val="43AA06E9"/>
    <w:rsid w:val="43C0281C"/>
    <w:rsid w:val="43C02B26"/>
    <w:rsid w:val="43D10A40"/>
    <w:rsid w:val="43D67A91"/>
    <w:rsid w:val="43E21F58"/>
    <w:rsid w:val="43E35EF0"/>
    <w:rsid w:val="43F76F69"/>
    <w:rsid w:val="43F90FED"/>
    <w:rsid w:val="43FC0DB2"/>
    <w:rsid w:val="44095B4D"/>
    <w:rsid w:val="440C5D56"/>
    <w:rsid w:val="44106263"/>
    <w:rsid w:val="441356E4"/>
    <w:rsid w:val="44153F0C"/>
    <w:rsid w:val="44174583"/>
    <w:rsid w:val="441A5200"/>
    <w:rsid w:val="44241AF6"/>
    <w:rsid w:val="4425456D"/>
    <w:rsid w:val="44336EAB"/>
    <w:rsid w:val="44393BD3"/>
    <w:rsid w:val="444109FB"/>
    <w:rsid w:val="444E22EA"/>
    <w:rsid w:val="44584267"/>
    <w:rsid w:val="445A436D"/>
    <w:rsid w:val="446D5306"/>
    <w:rsid w:val="44705173"/>
    <w:rsid w:val="44740841"/>
    <w:rsid w:val="44757F00"/>
    <w:rsid w:val="4476407C"/>
    <w:rsid w:val="447B4A66"/>
    <w:rsid w:val="447D4136"/>
    <w:rsid w:val="448B5845"/>
    <w:rsid w:val="448C73DD"/>
    <w:rsid w:val="44907237"/>
    <w:rsid w:val="449510AA"/>
    <w:rsid w:val="449C4915"/>
    <w:rsid w:val="449D7968"/>
    <w:rsid w:val="44AA6690"/>
    <w:rsid w:val="44B4690B"/>
    <w:rsid w:val="44B53006"/>
    <w:rsid w:val="44BA1648"/>
    <w:rsid w:val="44BB150F"/>
    <w:rsid w:val="44BE4FA9"/>
    <w:rsid w:val="44C43057"/>
    <w:rsid w:val="44C87C0F"/>
    <w:rsid w:val="44D31B1E"/>
    <w:rsid w:val="44DF6F1B"/>
    <w:rsid w:val="44E54BDC"/>
    <w:rsid w:val="44E92DF3"/>
    <w:rsid w:val="44EE75C5"/>
    <w:rsid w:val="44F82D0E"/>
    <w:rsid w:val="450F1C21"/>
    <w:rsid w:val="451C5E9C"/>
    <w:rsid w:val="452C5F0A"/>
    <w:rsid w:val="453579B0"/>
    <w:rsid w:val="45385EDA"/>
    <w:rsid w:val="453F48AB"/>
    <w:rsid w:val="454036A6"/>
    <w:rsid w:val="45446179"/>
    <w:rsid w:val="454E0AAC"/>
    <w:rsid w:val="454E4F75"/>
    <w:rsid w:val="454E6B7A"/>
    <w:rsid w:val="4551463D"/>
    <w:rsid w:val="45520426"/>
    <w:rsid w:val="45522E35"/>
    <w:rsid w:val="455A7708"/>
    <w:rsid w:val="45630606"/>
    <w:rsid w:val="456C4CA4"/>
    <w:rsid w:val="45701D9E"/>
    <w:rsid w:val="457736FF"/>
    <w:rsid w:val="45790DCE"/>
    <w:rsid w:val="457E31A2"/>
    <w:rsid w:val="458A104B"/>
    <w:rsid w:val="458B757C"/>
    <w:rsid w:val="458D679F"/>
    <w:rsid w:val="459026D9"/>
    <w:rsid w:val="45917B8A"/>
    <w:rsid w:val="45935B3B"/>
    <w:rsid w:val="45973BF7"/>
    <w:rsid w:val="459B634C"/>
    <w:rsid w:val="459F2381"/>
    <w:rsid w:val="45A2355C"/>
    <w:rsid w:val="45A74FA6"/>
    <w:rsid w:val="45B315CE"/>
    <w:rsid w:val="45B64B84"/>
    <w:rsid w:val="45DF3F62"/>
    <w:rsid w:val="45E37678"/>
    <w:rsid w:val="45E526A6"/>
    <w:rsid w:val="45E56E31"/>
    <w:rsid w:val="45E66893"/>
    <w:rsid w:val="45E826B2"/>
    <w:rsid w:val="45EA2F8B"/>
    <w:rsid w:val="45F4334C"/>
    <w:rsid w:val="460D3781"/>
    <w:rsid w:val="46365246"/>
    <w:rsid w:val="46466453"/>
    <w:rsid w:val="464871AD"/>
    <w:rsid w:val="464A6F2D"/>
    <w:rsid w:val="465918B0"/>
    <w:rsid w:val="465E5989"/>
    <w:rsid w:val="4662020E"/>
    <w:rsid w:val="466D3070"/>
    <w:rsid w:val="4671651F"/>
    <w:rsid w:val="46787358"/>
    <w:rsid w:val="467929D1"/>
    <w:rsid w:val="4679494F"/>
    <w:rsid w:val="467A6815"/>
    <w:rsid w:val="467B53A9"/>
    <w:rsid w:val="467D5367"/>
    <w:rsid w:val="46866306"/>
    <w:rsid w:val="468A27AC"/>
    <w:rsid w:val="468E6888"/>
    <w:rsid w:val="46914620"/>
    <w:rsid w:val="46963469"/>
    <w:rsid w:val="46981A1E"/>
    <w:rsid w:val="46987D2F"/>
    <w:rsid w:val="46995896"/>
    <w:rsid w:val="469D4ADE"/>
    <w:rsid w:val="469D5DE8"/>
    <w:rsid w:val="46A35C12"/>
    <w:rsid w:val="46A55B0E"/>
    <w:rsid w:val="46A82992"/>
    <w:rsid w:val="46AD7A54"/>
    <w:rsid w:val="46B134DD"/>
    <w:rsid w:val="46B419BE"/>
    <w:rsid w:val="46B640D3"/>
    <w:rsid w:val="46CD1F17"/>
    <w:rsid w:val="46D126E3"/>
    <w:rsid w:val="46D67289"/>
    <w:rsid w:val="46DB64CD"/>
    <w:rsid w:val="46DD1D17"/>
    <w:rsid w:val="46E1018C"/>
    <w:rsid w:val="46E53AB0"/>
    <w:rsid w:val="46EB563D"/>
    <w:rsid w:val="46F37479"/>
    <w:rsid w:val="46FC2FE8"/>
    <w:rsid w:val="47033281"/>
    <w:rsid w:val="47065799"/>
    <w:rsid w:val="47073BE8"/>
    <w:rsid w:val="470872CF"/>
    <w:rsid w:val="470D53CA"/>
    <w:rsid w:val="47105CCE"/>
    <w:rsid w:val="471563E1"/>
    <w:rsid w:val="47167C67"/>
    <w:rsid w:val="47333B1B"/>
    <w:rsid w:val="47351654"/>
    <w:rsid w:val="473D0BD8"/>
    <w:rsid w:val="47457188"/>
    <w:rsid w:val="4763716E"/>
    <w:rsid w:val="47644CFB"/>
    <w:rsid w:val="47666951"/>
    <w:rsid w:val="476825ED"/>
    <w:rsid w:val="47683159"/>
    <w:rsid w:val="476A7D07"/>
    <w:rsid w:val="478001A9"/>
    <w:rsid w:val="47902B9E"/>
    <w:rsid w:val="479766B4"/>
    <w:rsid w:val="479A472B"/>
    <w:rsid w:val="479D7800"/>
    <w:rsid w:val="47A240A4"/>
    <w:rsid w:val="47AA1593"/>
    <w:rsid w:val="47B44BED"/>
    <w:rsid w:val="47BC3466"/>
    <w:rsid w:val="47C930C2"/>
    <w:rsid w:val="47D04108"/>
    <w:rsid w:val="47D730B6"/>
    <w:rsid w:val="47DD6A91"/>
    <w:rsid w:val="47E62C82"/>
    <w:rsid w:val="47EB0853"/>
    <w:rsid w:val="47EB5BFA"/>
    <w:rsid w:val="47FA20F9"/>
    <w:rsid w:val="47FF3A74"/>
    <w:rsid w:val="480940F2"/>
    <w:rsid w:val="480B7A59"/>
    <w:rsid w:val="48111DC2"/>
    <w:rsid w:val="48156BFB"/>
    <w:rsid w:val="482B39B5"/>
    <w:rsid w:val="482D350F"/>
    <w:rsid w:val="48373BC4"/>
    <w:rsid w:val="483962B2"/>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61BB8"/>
    <w:rsid w:val="489B4431"/>
    <w:rsid w:val="489F0E5C"/>
    <w:rsid w:val="48A252D4"/>
    <w:rsid w:val="48A36B1C"/>
    <w:rsid w:val="48A76BEF"/>
    <w:rsid w:val="48AF255D"/>
    <w:rsid w:val="48B16C29"/>
    <w:rsid w:val="48B305F1"/>
    <w:rsid w:val="48B44D6B"/>
    <w:rsid w:val="48B470F8"/>
    <w:rsid w:val="48C17F25"/>
    <w:rsid w:val="48C34E74"/>
    <w:rsid w:val="48C43EFA"/>
    <w:rsid w:val="48C72E35"/>
    <w:rsid w:val="48C82BD7"/>
    <w:rsid w:val="48CB0DA2"/>
    <w:rsid w:val="48DC218B"/>
    <w:rsid w:val="48E677E0"/>
    <w:rsid w:val="48F447F8"/>
    <w:rsid w:val="48F921AC"/>
    <w:rsid w:val="490135F6"/>
    <w:rsid w:val="49046287"/>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43519"/>
    <w:rsid w:val="495719F4"/>
    <w:rsid w:val="495767CD"/>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21618"/>
    <w:rsid w:val="49A43EE6"/>
    <w:rsid w:val="49AB3DB8"/>
    <w:rsid w:val="49B4201A"/>
    <w:rsid w:val="49BA6924"/>
    <w:rsid w:val="49C20C6C"/>
    <w:rsid w:val="49C850D0"/>
    <w:rsid w:val="49CE0C89"/>
    <w:rsid w:val="49D93C20"/>
    <w:rsid w:val="49DA3FD3"/>
    <w:rsid w:val="49DA7AB7"/>
    <w:rsid w:val="49E028D9"/>
    <w:rsid w:val="49E46DD1"/>
    <w:rsid w:val="4A0573EC"/>
    <w:rsid w:val="4A06116C"/>
    <w:rsid w:val="4A070E8E"/>
    <w:rsid w:val="4A09499E"/>
    <w:rsid w:val="4A2E7749"/>
    <w:rsid w:val="4A325F1C"/>
    <w:rsid w:val="4A381BA6"/>
    <w:rsid w:val="4A3926E2"/>
    <w:rsid w:val="4A3D25CC"/>
    <w:rsid w:val="4A4172CE"/>
    <w:rsid w:val="4A43236C"/>
    <w:rsid w:val="4A4A176A"/>
    <w:rsid w:val="4A5370A6"/>
    <w:rsid w:val="4A5C4447"/>
    <w:rsid w:val="4A5C6983"/>
    <w:rsid w:val="4A6C0FC7"/>
    <w:rsid w:val="4A6D7FF3"/>
    <w:rsid w:val="4A732739"/>
    <w:rsid w:val="4A7413BF"/>
    <w:rsid w:val="4A7D09F3"/>
    <w:rsid w:val="4A825AD9"/>
    <w:rsid w:val="4A831767"/>
    <w:rsid w:val="4A840EFE"/>
    <w:rsid w:val="4A850C8F"/>
    <w:rsid w:val="4A852877"/>
    <w:rsid w:val="4A8953AB"/>
    <w:rsid w:val="4A8B5CEB"/>
    <w:rsid w:val="4A95521B"/>
    <w:rsid w:val="4A970AB1"/>
    <w:rsid w:val="4AA456B8"/>
    <w:rsid w:val="4AA75186"/>
    <w:rsid w:val="4AAF1B3A"/>
    <w:rsid w:val="4AB113DF"/>
    <w:rsid w:val="4ABB3CDE"/>
    <w:rsid w:val="4AC4256B"/>
    <w:rsid w:val="4AC860DD"/>
    <w:rsid w:val="4AD162A8"/>
    <w:rsid w:val="4AD25C89"/>
    <w:rsid w:val="4AD768C6"/>
    <w:rsid w:val="4AD87758"/>
    <w:rsid w:val="4AE0796F"/>
    <w:rsid w:val="4AE30444"/>
    <w:rsid w:val="4AF902F5"/>
    <w:rsid w:val="4AF94D42"/>
    <w:rsid w:val="4B0107DC"/>
    <w:rsid w:val="4B1322DF"/>
    <w:rsid w:val="4B205D7D"/>
    <w:rsid w:val="4B28587C"/>
    <w:rsid w:val="4B292683"/>
    <w:rsid w:val="4B294C7C"/>
    <w:rsid w:val="4B376E2E"/>
    <w:rsid w:val="4B385AE2"/>
    <w:rsid w:val="4B3D5656"/>
    <w:rsid w:val="4B3F4861"/>
    <w:rsid w:val="4B406616"/>
    <w:rsid w:val="4B4C459F"/>
    <w:rsid w:val="4B50566A"/>
    <w:rsid w:val="4B53122B"/>
    <w:rsid w:val="4B571002"/>
    <w:rsid w:val="4B5912E9"/>
    <w:rsid w:val="4B5D1DDE"/>
    <w:rsid w:val="4B645EAE"/>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C6918"/>
    <w:rsid w:val="4BAD4CA2"/>
    <w:rsid w:val="4BC456EF"/>
    <w:rsid w:val="4BC647B0"/>
    <w:rsid w:val="4BCB1BAE"/>
    <w:rsid w:val="4BD94F2A"/>
    <w:rsid w:val="4BDF4B49"/>
    <w:rsid w:val="4BE57E16"/>
    <w:rsid w:val="4BE819D0"/>
    <w:rsid w:val="4BE8649D"/>
    <w:rsid w:val="4BF67170"/>
    <w:rsid w:val="4C0236B4"/>
    <w:rsid w:val="4C0C091F"/>
    <w:rsid w:val="4C170C9D"/>
    <w:rsid w:val="4C192F75"/>
    <w:rsid w:val="4C1C0BD6"/>
    <w:rsid w:val="4C1E085C"/>
    <w:rsid w:val="4C1E7AAC"/>
    <w:rsid w:val="4C20259F"/>
    <w:rsid w:val="4C312ECF"/>
    <w:rsid w:val="4C3A3408"/>
    <w:rsid w:val="4C3D507E"/>
    <w:rsid w:val="4C422CA7"/>
    <w:rsid w:val="4C427C5C"/>
    <w:rsid w:val="4C5035A1"/>
    <w:rsid w:val="4C5F0B5D"/>
    <w:rsid w:val="4C606F33"/>
    <w:rsid w:val="4C6426ED"/>
    <w:rsid w:val="4C64471A"/>
    <w:rsid w:val="4C6C2FE2"/>
    <w:rsid w:val="4C6D5BD4"/>
    <w:rsid w:val="4C77619E"/>
    <w:rsid w:val="4C860543"/>
    <w:rsid w:val="4C8740CC"/>
    <w:rsid w:val="4C8E48D8"/>
    <w:rsid w:val="4C9538F4"/>
    <w:rsid w:val="4C974009"/>
    <w:rsid w:val="4CA6111C"/>
    <w:rsid w:val="4CA867B8"/>
    <w:rsid w:val="4CB3742C"/>
    <w:rsid w:val="4CC17C3E"/>
    <w:rsid w:val="4CC25B41"/>
    <w:rsid w:val="4CC42462"/>
    <w:rsid w:val="4CC42E37"/>
    <w:rsid w:val="4CC82CB8"/>
    <w:rsid w:val="4CCD5921"/>
    <w:rsid w:val="4CD550D5"/>
    <w:rsid w:val="4CD87AEB"/>
    <w:rsid w:val="4CDA21DD"/>
    <w:rsid w:val="4CE12887"/>
    <w:rsid w:val="4CE472E9"/>
    <w:rsid w:val="4CF04CFC"/>
    <w:rsid w:val="4CF05C74"/>
    <w:rsid w:val="4CF26BC3"/>
    <w:rsid w:val="4CFB51DB"/>
    <w:rsid w:val="4CFC3F2E"/>
    <w:rsid w:val="4D0F1680"/>
    <w:rsid w:val="4D144426"/>
    <w:rsid w:val="4D1D6CA0"/>
    <w:rsid w:val="4D2609C6"/>
    <w:rsid w:val="4D2A26AA"/>
    <w:rsid w:val="4D2A2C09"/>
    <w:rsid w:val="4D2F5C2A"/>
    <w:rsid w:val="4D33448A"/>
    <w:rsid w:val="4D3D187A"/>
    <w:rsid w:val="4D3F4840"/>
    <w:rsid w:val="4D410392"/>
    <w:rsid w:val="4D422D07"/>
    <w:rsid w:val="4D427BBD"/>
    <w:rsid w:val="4D570519"/>
    <w:rsid w:val="4D5A2B9C"/>
    <w:rsid w:val="4D5C5732"/>
    <w:rsid w:val="4D656800"/>
    <w:rsid w:val="4D6C4B60"/>
    <w:rsid w:val="4D6F1DC5"/>
    <w:rsid w:val="4D705706"/>
    <w:rsid w:val="4D7220A0"/>
    <w:rsid w:val="4D76173E"/>
    <w:rsid w:val="4D7D20F7"/>
    <w:rsid w:val="4D8A1210"/>
    <w:rsid w:val="4D8A58C0"/>
    <w:rsid w:val="4D8D11C1"/>
    <w:rsid w:val="4D922BF5"/>
    <w:rsid w:val="4D980E75"/>
    <w:rsid w:val="4D9B5A29"/>
    <w:rsid w:val="4DA53BC8"/>
    <w:rsid w:val="4DB41824"/>
    <w:rsid w:val="4DB95A69"/>
    <w:rsid w:val="4DBD1F3A"/>
    <w:rsid w:val="4DBD39FC"/>
    <w:rsid w:val="4DBD526D"/>
    <w:rsid w:val="4DC31B92"/>
    <w:rsid w:val="4DD776ED"/>
    <w:rsid w:val="4DDF6E13"/>
    <w:rsid w:val="4DE60E50"/>
    <w:rsid w:val="4DEB4734"/>
    <w:rsid w:val="4DEF33CD"/>
    <w:rsid w:val="4DF20FEE"/>
    <w:rsid w:val="4E007E98"/>
    <w:rsid w:val="4E016672"/>
    <w:rsid w:val="4E066F25"/>
    <w:rsid w:val="4E0939E5"/>
    <w:rsid w:val="4E176DF3"/>
    <w:rsid w:val="4E1A2F68"/>
    <w:rsid w:val="4E1E7D0E"/>
    <w:rsid w:val="4E210A5C"/>
    <w:rsid w:val="4E3A2C21"/>
    <w:rsid w:val="4E3C0154"/>
    <w:rsid w:val="4E412A4D"/>
    <w:rsid w:val="4E4475F5"/>
    <w:rsid w:val="4E451C79"/>
    <w:rsid w:val="4E587463"/>
    <w:rsid w:val="4E5A3449"/>
    <w:rsid w:val="4E6415B7"/>
    <w:rsid w:val="4E68543B"/>
    <w:rsid w:val="4E6906EE"/>
    <w:rsid w:val="4E694E99"/>
    <w:rsid w:val="4E6D1740"/>
    <w:rsid w:val="4E7125DA"/>
    <w:rsid w:val="4E784D1C"/>
    <w:rsid w:val="4E795FE9"/>
    <w:rsid w:val="4E797F06"/>
    <w:rsid w:val="4E825BBD"/>
    <w:rsid w:val="4E8D3751"/>
    <w:rsid w:val="4E8D409B"/>
    <w:rsid w:val="4E904370"/>
    <w:rsid w:val="4E937763"/>
    <w:rsid w:val="4E991182"/>
    <w:rsid w:val="4E9E5BA9"/>
    <w:rsid w:val="4E9F5613"/>
    <w:rsid w:val="4EA9172F"/>
    <w:rsid w:val="4EAC241A"/>
    <w:rsid w:val="4EB67945"/>
    <w:rsid w:val="4ECA2CB3"/>
    <w:rsid w:val="4ED32EBD"/>
    <w:rsid w:val="4EE61722"/>
    <w:rsid w:val="4EE86D63"/>
    <w:rsid w:val="4EEC3838"/>
    <w:rsid w:val="4EEE11A3"/>
    <w:rsid w:val="4EF07E6E"/>
    <w:rsid w:val="4EF558FA"/>
    <w:rsid w:val="4EFE4EC2"/>
    <w:rsid w:val="4EFF3444"/>
    <w:rsid w:val="4F037BFA"/>
    <w:rsid w:val="4F0441E5"/>
    <w:rsid w:val="4F155F27"/>
    <w:rsid w:val="4F181305"/>
    <w:rsid w:val="4F1A238F"/>
    <w:rsid w:val="4F2C365D"/>
    <w:rsid w:val="4F376D93"/>
    <w:rsid w:val="4F3D4163"/>
    <w:rsid w:val="4F50208E"/>
    <w:rsid w:val="4F6E6F86"/>
    <w:rsid w:val="4F7278C6"/>
    <w:rsid w:val="4F740C10"/>
    <w:rsid w:val="4F764CC2"/>
    <w:rsid w:val="4F7C7CD5"/>
    <w:rsid w:val="4F823D55"/>
    <w:rsid w:val="4F85034E"/>
    <w:rsid w:val="4F973AF4"/>
    <w:rsid w:val="4F977A4D"/>
    <w:rsid w:val="4F983E33"/>
    <w:rsid w:val="4F9B5328"/>
    <w:rsid w:val="4FAB2D3A"/>
    <w:rsid w:val="4FAB3627"/>
    <w:rsid w:val="4FAB7893"/>
    <w:rsid w:val="4FB40C2C"/>
    <w:rsid w:val="4FBA52BE"/>
    <w:rsid w:val="4FBA74EE"/>
    <w:rsid w:val="4FBB5569"/>
    <w:rsid w:val="4FBF1E32"/>
    <w:rsid w:val="4FC268B2"/>
    <w:rsid w:val="4FC803AA"/>
    <w:rsid w:val="4FCA1FE4"/>
    <w:rsid w:val="4FCB45DF"/>
    <w:rsid w:val="4FD365FC"/>
    <w:rsid w:val="4FD62D61"/>
    <w:rsid w:val="4FDC6418"/>
    <w:rsid w:val="4FE13662"/>
    <w:rsid w:val="4FE15781"/>
    <w:rsid w:val="4FE3603D"/>
    <w:rsid w:val="4FF5506D"/>
    <w:rsid w:val="4FFE1157"/>
    <w:rsid w:val="4FFE338C"/>
    <w:rsid w:val="4FFF3806"/>
    <w:rsid w:val="4FFF49BB"/>
    <w:rsid w:val="5004344D"/>
    <w:rsid w:val="50046739"/>
    <w:rsid w:val="50095827"/>
    <w:rsid w:val="50100572"/>
    <w:rsid w:val="5014542B"/>
    <w:rsid w:val="50186BF6"/>
    <w:rsid w:val="502751AB"/>
    <w:rsid w:val="502C4247"/>
    <w:rsid w:val="502D25A0"/>
    <w:rsid w:val="502D4F6F"/>
    <w:rsid w:val="502D660A"/>
    <w:rsid w:val="50347D28"/>
    <w:rsid w:val="50363B3A"/>
    <w:rsid w:val="503D2073"/>
    <w:rsid w:val="503D5373"/>
    <w:rsid w:val="504261AC"/>
    <w:rsid w:val="504311C0"/>
    <w:rsid w:val="504B1149"/>
    <w:rsid w:val="5052029B"/>
    <w:rsid w:val="505F1426"/>
    <w:rsid w:val="506309DB"/>
    <w:rsid w:val="50752AF6"/>
    <w:rsid w:val="50771C00"/>
    <w:rsid w:val="508A668E"/>
    <w:rsid w:val="509A3231"/>
    <w:rsid w:val="509C736A"/>
    <w:rsid w:val="50AF1C59"/>
    <w:rsid w:val="50B139BD"/>
    <w:rsid w:val="50B92297"/>
    <w:rsid w:val="50BD1498"/>
    <w:rsid w:val="50BE1B1D"/>
    <w:rsid w:val="50C371C0"/>
    <w:rsid w:val="50C51F05"/>
    <w:rsid w:val="50C65C4E"/>
    <w:rsid w:val="50C65E30"/>
    <w:rsid w:val="50D228CF"/>
    <w:rsid w:val="50E63519"/>
    <w:rsid w:val="50ED76FB"/>
    <w:rsid w:val="50F568D9"/>
    <w:rsid w:val="50FD2A03"/>
    <w:rsid w:val="51077269"/>
    <w:rsid w:val="510D4A1E"/>
    <w:rsid w:val="51121015"/>
    <w:rsid w:val="51187610"/>
    <w:rsid w:val="512B350B"/>
    <w:rsid w:val="51375EB3"/>
    <w:rsid w:val="513853CC"/>
    <w:rsid w:val="51392D77"/>
    <w:rsid w:val="513F081D"/>
    <w:rsid w:val="514C1E16"/>
    <w:rsid w:val="515361F4"/>
    <w:rsid w:val="515529BB"/>
    <w:rsid w:val="515A64E3"/>
    <w:rsid w:val="515C30A6"/>
    <w:rsid w:val="5161698E"/>
    <w:rsid w:val="517C0CA0"/>
    <w:rsid w:val="517F00BC"/>
    <w:rsid w:val="5188076F"/>
    <w:rsid w:val="5195533B"/>
    <w:rsid w:val="519645E3"/>
    <w:rsid w:val="5199124A"/>
    <w:rsid w:val="519D2F03"/>
    <w:rsid w:val="51AD6F40"/>
    <w:rsid w:val="51BE2EAE"/>
    <w:rsid w:val="51C0716E"/>
    <w:rsid w:val="51C24631"/>
    <w:rsid w:val="51C77592"/>
    <w:rsid w:val="51D43598"/>
    <w:rsid w:val="51DA51E8"/>
    <w:rsid w:val="51DA5890"/>
    <w:rsid w:val="51DD11EF"/>
    <w:rsid w:val="51E90CD5"/>
    <w:rsid w:val="51EE7B3E"/>
    <w:rsid w:val="51F51BD1"/>
    <w:rsid w:val="51F96848"/>
    <w:rsid w:val="51FB40B5"/>
    <w:rsid w:val="52073487"/>
    <w:rsid w:val="520A7B89"/>
    <w:rsid w:val="520E648E"/>
    <w:rsid w:val="521C5D43"/>
    <w:rsid w:val="521D7ED7"/>
    <w:rsid w:val="5239194F"/>
    <w:rsid w:val="524A2F7E"/>
    <w:rsid w:val="52612620"/>
    <w:rsid w:val="526478E1"/>
    <w:rsid w:val="526A546C"/>
    <w:rsid w:val="526F3E5E"/>
    <w:rsid w:val="52790FD9"/>
    <w:rsid w:val="52887A7D"/>
    <w:rsid w:val="52894DE6"/>
    <w:rsid w:val="528C5E23"/>
    <w:rsid w:val="52993DA6"/>
    <w:rsid w:val="529B5EE8"/>
    <w:rsid w:val="529F0D9B"/>
    <w:rsid w:val="52BB795D"/>
    <w:rsid w:val="52CA3D8F"/>
    <w:rsid w:val="52CD21D8"/>
    <w:rsid w:val="52CF0A4A"/>
    <w:rsid w:val="52DC66BA"/>
    <w:rsid w:val="52DC7C0E"/>
    <w:rsid w:val="52DD5B35"/>
    <w:rsid w:val="52DE6D3F"/>
    <w:rsid w:val="52DF42EC"/>
    <w:rsid w:val="52E427EA"/>
    <w:rsid w:val="52E974BA"/>
    <w:rsid w:val="52EB3885"/>
    <w:rsid w:val="52EB52A5"/>
    <w:rsid w:val="52EF0051"/>
    <w:rsid w:val="52FC1C88"/>
    <w:rsid w:val="53047263"/>
    <w:rsid w:val="53112C1D"/>
    <w:rsid w:val="531241BA"/>
    <w:rsid w:val="53155215"/>
    <w:rsid w:val="531621BA"/>
    <w:rsid w:val="531D0F10"/>
    <w:rsid w:val="53207ABD"/>
    <w:rsid w:val="5322304A"/>
    <w:rsid w:val="53281299"/>
    <w:rsid w:val="53290BFD"/>
    <w:rsid w:val="53293966"/>
    <w:rsid w:val="532C389F"/>
    <w:rsid w:val="532F6301"/>
    <w:rsid w:val="533B3642"/>
    <w:rsid w:val="533E0346"/>
    <w:rsid w:val="534246C3"/>
    <w:rsid w:val="53495ACD"/>
    <w:rsid w:val="535337EC"/>
    <w:rsid w:val="53556970"/>
    <w:rsid w:val="5366542B"/>
    <w:rsid w:val="536A3511"/>
    <w:rsid w:val="536D41AE"/>
    <w:rsid w:val="536F7573"/>
    <w:rsid w:val="5370597D"/>
    <w:rsid w:val="53763151"/>
    <w:rsid w:val="53794E20"/>
    <w:rsid w:val="537A78AC"/>
    <w:rsid w:val="537D3C2F"/>
    <w:rsid w:val="538C7861"/>
    <w:rsid w:val="5391597D"/>
    <w:rsid w:val="53943B08"/>
    <w:rsid w:val="53945FB6"/>
    <w:rsid w:val="53947DE7"/>
    <w:rsid w:val="539650C0"/>
    <w:rsid w:val="53A106E5"/>
    <w:rsid w:val="53A21F9D"/>
    <w:rsid w:val="53A27D95"/>
    <w:rsid w:val="53A3255B"/>
    <w:rsid w:val="53A911A1"/>
    <w:rsid w:val="53C877C6"/>
    <w:rsid w:val="53D153F9"/>
    <w:rsid w:val="53DB35A3"/>
    <w:rsid w:val="53DC2808"/>
    <w:rsid w:val="53DF54A9"/>
    <w:rsid w:val="53E04476"/>
    <w:rsid w:val="53E07B00"/>
    <w:rsid w:val="53E27BE1"/>
    <w:rsid w:val="53E36B63"/>
    <w:rsid w:val="53EC3D29"/>
    <w:rsid w:val="53F90D34"/>
    <w:rsid w:val="54002BFD"/>
    <w:rsid w:val="541942B6"/>
    <w:rsid w:val="54204A83"/>
    <w:rsid w:val="542A3FEF"/>
    <w:rsid w:val="542A5504"/>
    <w:rsid w:val="542F7A60"/>
    <w:rsid w:val="54346136"/>
    <w:rsid w:val="544206A3"/>
    <w:rsid w:val="5452765B"/>
    <w:rsid w:val="54550067"/>
    <w:rsid w:val="54570DF5"/>
    <w:rsid w:val="54580F5A"/>
    <w:rsid w:val="54662360"/>
    <w:rsid w:val="547056B3"/>
    <w:rsid w:val="54727EEF"/>
    <w:rsid w:val="5478695B"/>
    <w:rsid w:val="54860559"/>
    <w:rsid w:val="548810E8"/>
    <w:rsid w:val="54906088"/>
    <w:rsid w:val="54907EF0"/>
    <w:rsid w:val="549438A5"/>
    <w:rsid w:val="549C6534"/>
    <w:rsid w:val="54A14490"/>
    <w:rsid w:val="54A153FA"/>
    <w:rsid w:val="54AB29C5"/>
    <w:rsid w:val="54AB36A1"/>
    <w:rsid w:val="54B171C4"/>
    <w:rsid w:val="54B61DA8"/>
    <w:rsid w:val="54B62C99"/>
    <w:rsid w:val="54B76FF0"/>
    <w:rsid w:val="54C23983"/>
    <w:rsid w:val="54CC47C4"/>
    <w:rsid w:val="54DF688B"/>
    <w:rsid w:val="54E503E3"/>
    <w:rsid w:val="54E95643"/>
    <w:rsid w:val="550436A3"/>
    <w:rsid w:val="550E6C32"/>
    <w:rsid w:val="551C2E90"/>
    <w:rsid w:val="55405E18"/>
    <w:rsid w:val="554E0863"/>
    <w:rsid w:val="555737A6"/>
    <w:rsid w:val="55577AFF"/>
    <w:rsid w:val="55611FED"/>
    <w:rsid w:val="556C1CC4"/>
    <w:rsid w:val="55712540"/>
    <w:rsid w:val="55743D64"/>
    <w:rsid w:val="5577741D"/>
    <w:rsid w:val="558126EC"/>
    <w:rsid w:val="55851522"/>
    <w:rsid w:val="55883323"/>
    <w:rsid w:val="55883669"/>
    <w:rsid w:val="558A44CE"/>
    <w:rsid w:val="558F6F00"/>
    <w:rsid w:val="55906233"/>
    <w:rsid w:val="55910661"/>
    <w:rsid w:val="559310AD"/>
    <w:rsid w:val="559537DA"/>
    <w:rsid w:val="55A578C3"/>
    <w:rsid w:val="55A63100"/>
    <w:rsid w:val="55B403DD"/>
    <w:rsid w:val="55B511EE"/>
    <w:rsid w:val="55C0140E"/>
    <w:rsid w:val="55C529C2"/>
    <w:rsid w:val="55CC27C2"/>
    <w:rsid w:val="55CF48E7"/>
    <w:rsid w:val="55D0342A"/>
    <w:rsid w:val="55D50C9C"/>
    <w:rsid w:val="55D849A1"/>
    <w:rsid w:val="55E31A15"/>
    <w:rsid w:val="55E5367A"/>
    <w:rsid w:val="55E83D2F"/>
    <w:rsid w:val="5601293F"/>
    <w:rsid w:val="560469FC"/>
    <w:rsid w:val="5609174E"/>
    <w:rsid w:val="56155499"/>
    <w:rsid w:val="56214A7B"/>
    <w:rsid w:val="562E1F90"/>
    <w:rsid w:val="56373380"/>
    <w:rsid w:val="563B616D"/>
    <w:rsid w:val="563E5B16"/>
    <w:rsid w:val="56436207"/>
    <w:rsid w:val="56456373"/>
    <w:rsid w:val="564D235E"/>
    <w:rsid w:val="56580192"/>
    <w:rsid w:val="565A5E34"/>
    <w:rsid w:val="565B61BB"/>
    <w:rsid w:val="566510CB"/>
    <w:rsid w:val="567215D4"/>
    <w:rsid w:val="56787E25"/>
    <w:rsid w:val="567A6CC0"/>
    <w:rsid w:val="567E4F7B"/>
    <w:rsid w:val="568679CF"/>
    <w:rsid w:val="568D0940"/>
    <w:rsid w:val="568D6253"/>
    <w:rsid w:val="568F55E8"/>
    <w:rsid w:val="56902B88"/>
    <w:rsid w:val="56927DA4"/>
    <w:rsid w:val="56A032E3"/>
    <w:rsid w:val="56A04928"/>
    <w:rsid w:val="56A418DC"/>
    <w:rsid w:val="56A50EBB"/>
    <w:rsid w:val="56A83AE3"/>
    <w:rsid w:val="56AB6535"/>
    <w:rsid w:val="56AD339E"/>
    <w:rsid w:val="56B0619F"/>
    <w:rsid w:val="56B16CBD"/>
    <w:rsid w:val="56B96F66"/>
    <w:rsid w:val="56BE75C0"/>
    <w:rsid w:val="56C12AE4"/>
    <w:rsid w:val="56C71CAD"/>
    <w:rsid w:val="56CD3860"/>
    <w:rsid w:val="56CE5F20"/>
    <w:rsid w:val="56DA3EBA"/>
    <w:rsid w:val="56DE40C5"/>
    <w:rsid w:val="56E33383"/>
    <w:rsid w:val="56E81DBE"/>
    <w:rsid w:val="56ED5E03"/>
    <w:rsid w:val="56FB0134"/>
    <w:rsid w:val="57012351"/>
    <w:rsid w:val="57034B21"/>
    <w:rsid w:val="57095761"/>
    <w:rsid w:val="571777C3"/>
    <w:rsid w:val="571B1F7E"/>
    <w:rsid w:val="571D34AC"/>
    <w:rsid w:val="57217EFE"/>
    <w:rsid w:val="57292292"/>
    <w:rsid w:val="572E4793"/>
    <w:rsid w:val="572E7E52"/>
    <w:rsid w:val="573403E6"/>
    <w:rsid w:val="573459F0"/>
    <w:rsid w:val="573B3910"/>
    <w:rsid w:val="574460A0"/>
    <w:rsid w:val="57484376"/>
    <w:rsid w:val="574B4B12"/>
    <w:rsid w:val="57510AE5"/>
    <w:rsid w:val="575425F9"/>
    <w:rsid w:val="575A2017"/>
    <w:rsid w:val="575A4412"/>
    <w:rsid w:val="575C5FBB"/>
    <w:rsid w:val="57685F5D"/>
    <w:rsid w:val="57692A18"/>
    <w:rsid w:val="576D6DDF"/>
    <w:rsid w:val="57702374"/>
    <w:rsid w:val="57704138"/>
    <w:rsid w:val="57780ED4"/>
    <w:rsid w:val="577E3A90"/>
    <w:rsid w:val="5783620D"/>
    <w:rsid w:val="5788162D"/>
    <w:rsid w:val="57886A0D"/>
    <w:rsid w:val="57896321"/>
    <w:rsid w:val="579A7C07"/>
    <w:rsid w:val="57A46FEE"/>
    <w:rsid w:val="57AF7168"/>
    <w:rsid w:val="57B02763"/>
    <w:rsid w:val="57B6547E"/>
    <w:rsid w:val="57BC7C9C"/>
    <w:rsid w:val="57BF6387"/>
    <w:rsid w:val="57CE152D"/>
    <w:rsid w:val="57D01AAC"/>
    <w:rsid w:val="57DA0D38"/>
    <w:rsid w:val="57DD4E33"/>
    <w:rsid w:val="57DE0A52"/>
    <w:rsid w:val="57DF6500"/>
    <w:rsid w:val="57E60B9B"/>
    <w:rsid w:val="57E73B61"/>
    <w:rsid w:val="57F01737"/>
    <w:rsid w:val="57F73696"/>
    <w:rsid w:val="57F84361"/>
    <w:rsid w:val="58005923"/>
    <w:rsid w:val="5803475B"/>
    <w:rsid w:val="58097404"/>
    <w:rsid w:val="580A6FBE"/>
    <w:rsid w:val="580F5BC1"/>
    <w:rsid w:val="58141C04"/>
    <w:rsid w:val="58153B58"/>
    <w:rsid w:val="5822786C"/>
    <w:rsid w:val="58243371"/>
    <w:rsid w:val="58293CFC"/>
    <w:rsid w:val="58302962"/>
    <w:rsid w:val="5835010B"/>
    <w:rsid w:val="5846366F"/>
    <w:rsid w:val="584654C9"/>
    <w:rsid w:val="58470241"/>
    <w:rsid w:val="58484F55"/>
    <w:rsid w:val="585249D0"/>
    <w:rsid w:val="58563BF0"/>
    <w:rsid w:val="58590DD2"/>
    <w:rsid w:val="5863473D"/>
    <w:rsid w:val="586C2A31"/>
    <w:rsid w:val="586E1447"/>
    <w:rsid w:val="5878285F"/>
    <w:rsid w:val="587E2D46"/>
    <w:rsid w:val="58803F13"/>
    <w:rsid w:val="588509DD"/>
    <w:rsid w:val="588D555E"/>
    <w:rsid w:val="58937684"/>
    <w:rsid w:val="58953B9F"/>
    <w:rsid w:val="58957A8C"/>
    <w:rsid w:val="589C0BA1"/>
    <w:rsid w:val="589F18E4"/>
    <w:rsid w:val="58A26665"/>
    <w:rsid w:val="58A602A9"/>
    <w:rsid w:val="58A77FBE"/>
    <w:rsid w:val="58A948C8"/>
    <w:rsid w:val="58B06D42"/>
    <w:rsid w:val="58B156C4"/>
    <w:rsid w:val="58B8443B"/>
    <w:rsid w:val="58B93814"/>
    <w:rsid w:val="58BC4002"/>
    <w:rsid w:val="58C6178A"/>
    <w:rsid w:val="58DB456A"/>
    <w:rsid w:val="58E909DD"/>
    <w:rsid w:val="58EB1C90"/>
    <w:rsid w:val="58F57D12"/>
    <w:rsid w:val="59094784"/>
    <w:rsid w:val="591B3B7D"/>
    <w:rsid w:val="59267EF0"/>
    <w:rsid w:val="59376E4C"/>
    <w:rsid w:val="59421F7E"/>
    <w:rsid w:val="59424509"/>
    <w:rsid w:val="594935F2"/>
    <w:rsid w:val="594C2750"/>
    <w:rsid w:val="595A2A8C"/>
    <w:rsid w:val="595C0946"/>
    <w:rsid w:val="59604A5E"/>
    <w:rsid w:val="59642A7A"/>
    <w:rsid w:val="596D32B4"/>
    <w:rsid w:val="59774D3E"/>
    <w:rsid w:val="598C3E17"/>
    <w:rsid w:val="599024D2"/>
    <w:rsid w:val="599148CE"/>
    <w:rsid w:val="599A1291"/>
    <w:rsid w:val="599E418E"/>
    <w:rsid w:val="59A22883"/>
    <w:rsid w:val="59A24ED6"/>
    <w:rsid w:val="59AE741D"/>
    <w:rsid w:val="59AF0514"/>
    <w:rsid w:val="59B6531E"/>
    <w:rsid w:val="59B75E8A"/>
    <w:rsid w:val="59BC0F73"/>
    <w:rsid w:val="59BD2911"/>
    <w:rsid w:val="59BE1CC3"/>
    <w:rsid w:val="59C13A26"/>
    <w:rsid w:val="59C91BF3"/>
    <w:rsid w:val="59D44B3B"/>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55793"/>
    <w:rsid w:val="5A265096"/>
    <w:rsid w:val="5A2943A6"/>
    <w:rsid w:val="5A2A6592"/>
    <w:rsid w:val="5A2D0557"/>
    <w:rsid w:val="5A340B09"/>
    <w:rsid w:val="5A3F3527"/>
    <w:rsid w:val="5A440B9D"/>
    <w:rsid w:val="5A5128C3"/>
    <w:rsid w:val="5A525A46"/>
    <w:rsid w:val="5A575C31"/>
    <w:rsid w:val="5A5C7772"/>
    <w:rsid w:val="5A6336A1"/>
    <w:rsid w:val="5A661C78"/>
    <w:rsid w:val="5A682C88"/>
    <w:rsid w:val="5A6B7C88"/>
    <w:rsid w:val="5A73612A"/>
    <w:rsid w:val="5A877288"/>
    <w:rsid w:val="5A8F76C1"/>
    <w:rsid w:val="5A921A04"/>
    <w:rsid w:val="5A9A0A66"/>
    <w:rsid w:val="5AA541CF"/>
    <w:rsid w:val="5AAF48E4"/>
    <w:rsid w:val="5AB20E19"/>
    <w:rsid w:val="5AB37B27"/>
    <w:rsid w:val="5AB96041"/>
    <w:rsid w:val="5ABA46AD"/>
    <w:rsid w:val="5ABC4831"/>
    <w:rsid w:val="5ABC6BFA"/>
    <w:rsid w:val="5AC366EB"/>
    <w:rsid w:val="5AC37A7D"/>
    <w:rsid w:val="5AC43AE0"/>
    <w:rsid w:val="5AC4427C"/>
    <w:rsid w:val="5AD054B7"/>
    <w:rsid w:val="5AD149C0"/>
    <w:rsid w:val="5AD510F0"/>
    <w:rsid w:val="5AEC29B4"/>
    <w:rsid w:val="5AF55A9C"/>
    <w:rsid w:val="5AF82FCA"/>
    <w:rsid w:val="5AF8657A"/>
    <w:rsid w:val="5AFE5C3F"/>
    <w:rsid w:val="5B000850"/>
    <w:rsid w:val="5B187495"/>
    <w:rsid w:val="5B1945A0"/>
    <w:rsid w:val="5B1B10FA"/>
    <w:rsid w:val="5B1B5003"/>
    <w:rsid w:val="5B1C4DCF"/>
    <w:rsid w:val="5B225A79"/>
    <w:rsid w:val="5B2445B5"/>
    <w:rsid w:val="5B2559CC"/>
    <w:rsid w:val="5B2A41C4"/>
    <w:rsid w:val="5B2B5E52"/>
    <w:rsid w:val="5B3D2F4B"/>
    <w:rsid w:val="5B3E0A56"/>
    <w:rsid w:val="5B492D29"/>
    <w:rsid w:val="5B5159D8"/>
    <w:rsid w:val="5B532679"/>
    <w:rsid w:val="5B570BDE"/>
    <w:rsid w:val="5B5B64C5"/>
    <w:rsid w:val="5B6207A7"/>
    <w:rsid w:val="5B627DC7"/>
    <w:rsid w:val="5B6C097A"/>
    <w:rsid w:val="5B6C5737"/>
    <w:rsid w:val="5B763263"/>
    <w:rsid w:val="5B7B281F"/>
    <w:rsid w:val="5B821CF2"/>
    <w:rsid w:val="5B896F76"/>
    <w:rsid w:val="5B8F287C"/>
    <w:rsid w:val="5B975E5B"/>
    <w:rsid w:val="5B9C0984"/>
    <w:rsid w:val="5BA35DCA"/>
    <w:rsid w:val="5BA65080"/>
    <w:rsid w:val="5BA76A78"/>
    <w:rsid w:val="5BB214B7"/>
    <w:rsid w:val="5BB424C4"/>
    <w:rsid w:val="5BB576AD"/>
    <w:rsid w:val="5BBE6EBD"/>
    <w:rsid w:val="5BBF5D91"/>
    <w:rsid w:val="5BC02787"/>
    <w:rsid w:val="5BC52B9A"/>
    <w:rsid w:val="5BCD45FD"/>
    <w:rsid w:val="5BD41880"/>
    <w:rsid w:val="5BD627D7"/>
    <w:rsid w:val="5BE23D1E"/>
    <w:rsid w:val="5BE24CD9"/>
    <w:rsid w:val="5BE50680"/>
    <w:rsid w:val="5BE52EE1"/>
    <w:rsid w:val="5BEA2231"/>
    <w:rsid w:val="5BF23EBC"/>
    <w:rsid w:val="5BF524ED"/>
    <w:rsid w:val="5BF65E64"/>
    <w:rsid w:val="5BFD4032"/>
    <w:rsid w:val="5BFF0C86"/>
    <w:rsid w:val="5C0076F4"/>
    <w:rsid w:val="5C087355"/>
    <w:rsid w:val="5C0C750E"/>
    <w:rsid w:val="5C0E435F"/>
    <w:rsid w:val="5C104165"/>
    <w:rsid w:val="5C135532"/>
    <w:rsid w:val="5C1832F4"/>
    <w:rsid w:val="5C1A3044"/>
    <w:rsid w:val="5C325AD5"/>
    <w:rsid w:val="5C3B2DCF"/>
    <w:rsid w:val="5C3D2638"/>
    <w:rsid w:val="5C4913AD"/>
    <w:rsid w:val="5C500AF8"/>
    <w:rsid w:val="5C517866"/>
    <w:rsid w:val="5C523483"/>
    <w:rsid w:val="5C5348B4"/>
    <w:rsid w:val="5C5E033F"/>
    <w:rsid w:val="5C5E495E"/>
    <w:rsid w:val="5C663D77"/>
    <w:rsid w:val="5C6875EE"/>
    <w:rsid w:val="5C6F12DC"/>
    <w:rsid w:val="5C7A2919"/>
    <w:rsid w:val="5C8C7EA5"/>
    <w:rsid w:val="5CBD2B34"/>
    <w:rsid w:val="5CBF4297"/>
    <w:rsid w:val="5CC43404"/>
    <w:rsid w:val="5CC72BBC"/>
    <w:rsid w:val="5CC93DAE"/>
    <w:rsid w:val="5CD31EE3"/>
    <w:rsid w:val="5CE1654F"/>
    <w:rsid w:val="5CE47CF9"/>
    <w:rsid w:val="5CEB1D70"/>
    <w:rsid w:val="5CF45558"/>
    <w:rsid w:val="5CF70E19"/>
    <w:rsid w:val="5D0056DF"/>
    <w:rsid w:val="5D00730C"/>
    <w:rsid w:val="5D072BC8"/>
    <w:rsid w:val="5D076525"/>
    <w:rsid w:val="5D0A3A75"/>
    <w:rsid w:val="5D19384D"/>
    <w:rsid w:val="5D22473A"/>
    <w:rsid w:val="5D2B5629"/>
    <w:rsid w:val="5D315CEB"/>
    <w:rsid w:val="5D326462"/>
    <w:rsid w:val="5D3926A3"/>
    <w:rsid w:val="5D3B59DF"/>
    <w:rsid w:val="5D3F72BA"/>
    <w:rsid w:val="5D473075"/>
    <w:rsid w:val="5D475E41"/>
    <w:rsid w:val="5D4822EE"/>
    <w:rsid w:val="5D5864DB"/>
    <w:rsid w:val="5D6A4F58"/>
    <w:rsid w:val="5D73393B"/>
    <w:rsid w:val="5D76353B"/>
    <w:rsid w:val="5D784379"/>
    <w:rsid w:val="5D7B3457"/>
    <w:rsid w:val="5D8B2715"/>
    <w:rsid w:val="5D8C5978"/>
    <w:rsid w:val="5D8D250E"/>
    <w:rsid w:val="5D8F399C"/>
    <w:rsid w:val="5D8F6111"/>
    <w:rsid w:val="5D915AFD"/>
    <w:rsid w:val="5D9404A9"/>
    <w:rsid w:val="5D9557B5"/>
    <w:rsid w:val="5D964239"/>
    <w:rsid w:val="5D9A23F4"/>
    <w:rsid w:val="5D9F6617"/>
    <w:rsid w:val="5D9F7C74"/>
    <w:rsid w:val="5DAB2CF5"/>
    <w:rsid w:val="5DAE2E8C"/>
    <w:rsid w:val="5DAE7F34"/>
    <w:rsid w:val="5DB65502"/>
    <w:rsid w:val="5DCF2885"/>
    <w:rsid w:val="5DD045B3"/>
    <w:rsid w:val="5DD70750"/>
    <w:rsid w:val="5DE44DF4"/>
    <w:rsid w:val="5DED4540"/>
    <w:rsid w:val="5E00720B"/>
    <w:rsid w:val="5E012896"/>
    <w:rsid w:val="5E015A16"/>
    <w:rsid w:val="5E0825B2"/>
    <w:rsid w:val="5E0A6049"/>
    <w:rsid w:val="5E156B70"/>
    <w:rsid w:val="5E1574AD"/>
    <w:rsid w:val="5E21165A"/>
    <w:rsid w:val="5E226508"/>
    <w:rsid w:val="5E2368B5"/>
    <w:rsid w:val="5E344390"/>
    <w:rsid w:val="5E352EB6"/>
    <w:rsid w:val="5E365B28"/>
    <w:rsid w:val="5E365E3C"/>
    <w:rsid w:val="5E3E7207"/>
    <w:rsid w:val="5E400BF0"/>
    <w:rsid w:val="5E4250B0"/>
    <w:rsid w:val="5E4A3E88"/>
    <w:rsid w:val="5E4E539E"/>
    <w:rsid w:val="5E5376EA"/>
    <w:rsid w:val="5E5F0687"/>
    <w:rsid w:val="5E6454D9"/>
    <w:rsid w:val="5E680BE8"/>
    <w:rsid w:val="5E6B7FF0"/>
    <w:rsid w:val="5E783202"/>
    <w:rsid w:val="5E7842EE"/>
    <w:rsid w:val="5E803D55"/>
    <w:rsid w:val="5E854DAE"/>
    <w:rsid w:val="5E9E372D"/>
    <w:rsid w:val="5EA36A9B"/>
    <w:rsid w:val="5EA648E2"/>
    <w:rsid w:val="5EB32415"/>
    <w:rsid w:val="5EB52E6F"/>
    <w:rsid w:val="5EC94A60"/>
    <w:rsid w:val="5ED20056"/>
    <w:rsid w:val="5ED95EEE"/>
    <w:rsid w:val="5EE55DDE"/>
    <w:rsid w:val="5EF04AC4"/>
    <w:rsid w:val="5EF47473"/>
    <w:rsid w:val="5EF51EEF"/>
    <w:rsid w:val="5EFE064F"/>
    <w:rsid w:val="5F061DE5"/>
    <w:rsid w:val="5F09081F"/>
    <w:rsid w:val="5F1111AD"/>
    <w:rsid w:val="5F121A0D"/>
    <w:rsid w:val="5F175E7F"/>
    <w:rsid w:val="5F1B27DE"/>
    <w:rsid w:val="5F205DAE"/>
    <w:rsid w:val="5F2C64A1"/>
    <w:rsid w:val="5F2F2607"/>
    <w:rsid w:val="5F39582E"/>
    <w:rsid w:val="5F405CF4"/>
    <w:rsid w:val="5F45602C"/>
    <w:rsid w:val="5F457593"/>
    <w:rsid w:val="5F4632C4"/>
    <w:rsid w:val="5F482400"/>
    <w:rsid w:val="5F4A58A7"/>
    <w:rsid w:val="5F4D2F69"/>
    <w:rsid w:val="5F527FC9"/>
    <w:rsid w:val="5F531ECF"/>
    <w:rsid w:val="5F57147C"/>
    <w:rsid w:val="5F6015E2"/>
    <w:rsid w:val="5F6028D5"/>
    <w:rsid w:val="5F61415F"/>
    <w:rsid w:val="5F646936"/>
    <w:rsid w:val="5F6E7121"/>
    <w:rsid w:val="5F7202DD"/>
    <w:rsid w:val="5F7602E5"/>
    <w:rsid w:val="5F764A5E"/>
    <w:rsid w:val="5F765DFC"/>
    <w:rsid w:val="5F7D66DE"/>
    <w:rsid w:val="5F810033"/>
    <w:rsid w:val="5F844DC9"/>
    <w:rsid w:val="5F8806B8"/>
    <w:rsid w:val="5F8C52DB"/>
    <w:rsid w:val="5F966692"/>
    <w:rsid w:val="5F99467F"/>
    <w:rsid w:val="5F9D7CCE"/>
    <w:rsid w:val="5FA00A10"/>
    <w:rsid w:val="5FA4374A"/>
    <w:rsid w:val="5FA4380A"/>
    <w:rsid w:val="5FA864E4"/>
    <w:rsid w:val="5FAB674F"/>
    <w:rsid w:val="5FB25387"/>
    <w:rsid w:val="5FC53509"/>
    <w:rsid w:val="5FD20829"/>
    <w:rsid w:val="5FEB0680"/>
    <w:rsid w:val="5FF35B11"/>
    <w:rsid w:val="5FF744A9"/>
    <w:rsid w:val="5FF76947"/>
    <w:rsid w:val="5FFB17C7"/>
    <w:rsid w:val="5FFE6C22"/>
    <w:rsid w:val="60000309"/>
    <w:rsid w:val="600B6B90"/>
    <w:rsid w:val="600C3224"/>
    <w:rsid w:val="600F6605"/>
    <w:rsid w:val="60122B8E"/>
    <w:rsid w:val="60143AD3"/>
    <w:rsid w:val="60281FCD"/>
    <w:rsid w:val="602876AC"/>
    <w:rsid w:val="603215F4"/>
    <w:rsid w:val="603771DA"/>
    <w:rsid w:val="604C5236"/>
    <w:rsid w:val="604C63FA"/>
    <w:rsid w:val="605006BC"/>
    <w:rsid w:val="606162D0"/>
    <w:rsid w:val="60674769"/>
    <w:rsid w:val="606C660C"/>
    <w:rsid w:val="607079E9"/>
    <w:rsid w:val="60734371"/>
    <w:rsid w:val="60830460"/>
    <w:rsid w:val="6085543E"/>
    <w:rsid w:val="608B5C80"/>
    <w:rsid w:val="60907882"/>
    <w:rsid w:val="609258F0"/>
    <w:rsid w:val="6093287A"/>
    <w:rsid w:val="609517E9"/>
    <w:rsid w:val="609A2B73"/>
    <w:rsid w:val="609F1E8C"/>
    <w:rsid w:val="60A0440C"/>
    <w:rsid w:val="60A661C2"/>
    <w:rsid w:val="60B77B1A"/>
    <w:rsid w:val="60BA0952"/>
    <w:rsid w:val="60C02A5F"/>
    <w:rsid w:val="60C5483E"/>
    <w:rsid w:val="60C566E2"/>
    <w:rsid w:val="60C867C5"/>
    <w:rsid w:val="60D3354A"/>
    <w:rsid w:val="60D4561F"/>
    <w:rsid w:val="60D67E78"/>
    <w:rsid w:val="60DB0800"/>
    <w:rsid w:val="60DE0DB6"/>
    <w:rsid w:val="60E25F60"/>
    <w:rsid w:val="60E54273"/>
    <w:rsid w:val="60ED545A"/>
    <w:rsid w:val="60F46839"/>
    <w:rsid w:val="61027740"/>
    <w:rsid w:val="61034098"/>
    <w:rsid w:val="61067A64"/>
    <w:rsid w:val="610B0BAE"/>
    <w:rsid w:val="610C7D1D"/>
    <w:rsid w:val="61105E47"/>
    <w:rsid w:val="6112529A"/>
    <w:rsid w:val="61190AA3"/>
    <w:rsid w:val="611A7B15"/>
    <w:rsid w:val="611C59F7"/>
    <w:rsid w:val="611C73F5"/>
    <w:rsid w:val="611F0B09"/>
    <w:rsid w:val="61200AAF"/>
    <w:rsid w:val="612D2321"/>
    <w:rsid w:val="612E7725"/>
    <w:rsid w:val="613F7544"/>
    <w:rsid w:val="61455CF4"/>
    <w:rsid w:val="61466898"/>
    <w:rsid w:val="61527CE8"/>
    <w:rsid w:val="615B2659"/>
    <w:rsid w:val="615E36E9"/>
    <w:rsid w:val="615E3F04"/>
    <w:rsid w:val="61676068"/>
    <w:rsid w:val="616B091A"/>
    <w:rsid w:val="616B25D0"/>
    <w:rsid w:val="616C1663"/>
    <w:rsid w:val="616E223F"/>
    <w:rsid w:val="617305C5"/>
    <w:rsid w:val="61751F59"/>
    <w:rsid w:val="617C28AF"/>
    <w:rsid w:val="618A6058"/>
    <w:rsid w:val="61963257"/>
    <w:rsid w:val="6196670E"/>
    <w:rsid w:val="61972737"/>
    <w:rsid w:val="619C38B4"/>
    <w:rsid w:val="619D0513"/>
    <w:rsid w:val="61A4486B"/>
    <w:rsid w:val="61B33DDF"/>
    <w:rsid w:val="61BB4A1B"/>
    <w:rsid w:val="61BC23E5"/>
    <w:rsid w:val="61CD3107"/>
    <w:rsid w:val="61D21120"/>
    <w:rsid w:val="61E728F9"/>
    <w:rsid w:val="61F3667F"/>
    <w:rsid w:val="61F43F82"/>
    <w:rsid w:val="61FA4063"/>
    <w:rsid w:val="61FB110C"/>
    <w:rsid w:val="620B2B74"/>
    <w:rsid w:val="6210415F"/>
    <w:rsid w:val="62185165"/>
    <w:rsid w:val="621D66D4"/>
    <w:rsid w:val="622157E2"/>
    <w:rsid w:val="62220209"/>
    <w:rsid w:val="622E2CF4"/>
    <w:rsid w:val="622F5ABF"/>
    <w:rsid w:val="62393091"/>
    <w:rsid w:val="623D0C68"/>
    <w:rsid w:val="62460FCD"/>
    <w:rsid w:val="62480FF0"/>
    <w:rsid w:val="624B14C1"/>
    <w:rsid w:val="624F0394"/>
    <w:rsid w:val="625A29D8"/>
    <w:rsid w:val="625B2CDA"/>
    <w:rsid w:val="625B47C2"/>
    <w:rsid w:val="62630C6B"/>
    <w:rsid w:val="627301E8"/>
    <w:rsid w:val="627430A5"/>
    <w:rsid w:val="6295194F"/>
    <w:rsid w:val="6299295E"/>
    <w:rsid w:val="629A07BC"/>
    <w:rsid w:val="62A33CA7"/>
    <w:rsid w:val="62AC2BCD"/>
    <w:rsid w:val="62B94634"/>
    <w:rsid w:val="62BA3B2B"/>
    <w:rsid w:val="62C37511"/>
    <w:rsid w:val="62D11C3F"/>
    <w:rsid w:val="62D67D61"/>
    <w:rsid w:val="62E157FC"/>
    <w:rsid w:val="62E54A06"/>
    <w:rsid w:val="62E81148"/>
    <w:rsid w:val="62E83A0D"/>
    <w:rsid w:val="62ED1945"/>
    <w:rsid w:val="62F76986"/>
    <w:rsid w:val="62F8158F"/>
    <w:rsid w:val="62FA3D7F"/>
    <w:rsid w:val="63074CE8"/>
    <w:rsid w:val="631360BB"/>
    <w:rsid w:val="631C3A36"/>
    <w:rsid w:val="63212420"/>
    <w:rsid w:val="632936A9"/>
    <w:rsid w:val="632E087A"/>
    <w:rsid w:val="632F06D8"/>
    <w:rsid w:val="63310101"/>
    <w:rsid w:val="63311536"/>
    <w:rsid w:val="63317698"/>
    <w:rsid w:val="63340EAE"/>
    <w:rsid w:val="63443DC2"/>
    <w:rsid w:val="634B6A95"/>
    <w:rsid w:val="634F6CB9"/>
    <w:rsid w:val="635E6984"/>
    <w:rsid w:val="63607B9B"/>
    <w:rsid w:val="63615D3E"/>
    <w:rsid w:val="6367139B"/>
    <w:rsid w:val="63683422"/>
    <w:rsid w:val="636C62BA"/>
    <w:rsid w:val="63821D61"/>
    <w:rsid w:val="63827E36"/>
    <w:rsid w:val="63842477"/>
    <w:rsid w:val="638823F9"/>
    <w:rsid w:val="638B04D2"/>
    <w:rsid w:val="639A118D"/>
    <w:rsid w:val="63A3224F"/>
    <w:rsid w:val="63A85CD1"/>
    <w:rsid w:val="63AB2A39"/>
    <w:rsid w:val="63B02C42"/>
    <w:rsid w:val="63C51AD9"/>
    <w:rsid w:val="63C54411"/>
    <w:rsid w:val="63C733FE"/>
    <w:rsid w:val="63CD27C8"/>
    <w:rsid w:val="63CD4C2D"/>
    <w:rsid w:val="63CF2629"/>
    <w:rsid w:val="63D40E51"/>
    <w:rsid w:val="63D562E7"/>
    <w:rsid w:val="63D85FCA"/>
    <w:rsid w:val="63D92331"/>
    <w:rsid w:val="63DB2B6D"/>
    <w:rsid w:val="63E263F4"/>
    <w:rsid w:val="63E418C9"/>
    <w:rsid w:val="63E94E5A"/>
    <w:rsid w:val="63FB6EC6"/>
    <w:rsid w:val="63FD7654"/>
    <w:rsid w:val="640C2BB6"/>
    <w:rsid w:val="6411454E"/>
    <w:rsid w:val="643F3FFC"/>
    <w:rsid w:val="644A69BC"/>
    <w:rsid w:val="644D6FD8"/>
    <w:rsid w:val="645B5DC0"/>
    <w:rsid w:val="645D3A6B"/>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D4200"/>
    <w:rsid w:val="64B453B1"/>
    <w:rsid w:val="64BE5702"/>
    <w:rsid w:val="64C16289"/>
    <w:rsid w:val="64CF05E4"/>
    <w:rsid w:val="64D01C31"/>
    <w:rsid w:val="64D93F02"/>
    <w:rsid w:val="64E5543E"/>
    <w:rsid w:val="64E76F6D"/>
    <w:rsid w:val="64EA4517"/>
    <w:rsid w:val="64FC561C"/>
    <w:rsid w:val="64FE0E31"/>
    <w:rsid w:val="65181463"/>
    <w:rsid w:val="651A5C6A"/>
    <w:rsid w:val="651C38DB"/>
    <w:rsid w:val="65201F4F"/>
    <w:rsid w:val="65204394"/>
    <w:rsid w:val="6522790C"/>
    <w:rsid w:val="652B631B"/>
    <w:rsid w:val="652C76EF"/>
    <w:rsid w:val="652D6A57"/>
    <w:rsid w:val="653E78B1"/>
    <w:rsid w:val="65403733"/>
    <w:rsid w:val="654066D8"/>
    <w:rsid w:val="65427957"/>
    <w:rsid w:val="65430291"/>
    <w:rsid w:val="654468BF"/>
    <w:rsid w:val="65465700"/>
    <w:rsid w:val="654C7E43"/>
    <w:rsid w:val="655754CB"/>
    <w:rsid w:val="655E2D72"/>
    <w:rsid w:val="656171FC"/>
    <w:rsid w:val="65635CAF"/>
    <w:rsid w:val="65636611"/>
    <w:rsid w:val="656F1A01"/>
    <w:rsid w:val="6570700F"/>
    <w:rsid w:val="657F0CE6"/>
    <w:rsid w:val="65833C4F"/>
    <w:rsid w:val="658B37B6"/>
    <w:rsid w:val="6590595E"/>
    <w:rsid w:val="659135E4"/>
    <w:rsid w:val="65972789"/>
    <w:rsid w:val="6598681A"/>
    <w:rsid w:val="659C17EE"/>
    <w:rsid w:val="65A65E7D"/>
    <w:rsid w:val="65BC6E17"/>
    <w:rsid w:val="65BD3777"/>
    <w:rsid w:val="65BE5ECC"/>
    <w:rsid w:val="65D3355B"/>
    <w:rsid w:val="65D64BB3"/>
    <w:rsid w:val="65D70270"/>
    <w:rsid w:val="65E91B08"/>
    <w:rsid w:val="65F5725F"/>
    <w:rsid w:val="66032E7B"/>
    <w:rsid w:val="66053581"/>
    <w:rsid w:val="660A19B0"/>
    <w:rsid w:val="661026AA"/>
    <w:rsid w:val="661635F6"/>
    <w:rsid w:val="661D3F49"/>
    <w:rsid w:val="66213A5C"/>
    <w:rsid w:val="6624683A"/>
    <w:rsid w:val="662D2EA4"/>
    <w:rsid w:val="6631571B"/>
    <w:rsid w:val="66354D2C"/>
    <w:rsid w:val="663D054E"/>
    <w:rsid w:val="66460692"/>
    <w:rsid w:val="664D42AB"/>
    <w:rsid w:val="6658158E"/>
    <w:rsid w:val="66631FDD"/>
    <w:rsid w:val="66727620"/>
    <w:rsid w:val="66763EED"/>
    <w:rsid w:val="667930F9"/>
    <w:rsid w:val="6679372B"/>
    <w:rsid w:val="667B3C56"/>
    <w:rsid w:val="66886429"/>
    <w:rsid w:val="66953491"/>
    <w:rsid w:val="66980BF6"/>
    <w:rsid w:val="66A56CDB"/>
    <w:rsid w:val="66AA30FE"/>
    <w:rsid w:val="66AD65FC"/>
    <w:rsid w:val="66B81454"/>
    <w:rsid w:val="66B86A33"/>
    <w:rsid w:val="66BE1292"/>
    <w:rsid w:val="66BF76F1"/>
    <w:rsid w:val="66C25DAF"/>
    <w:rsid w:val="66D1058D"/>
    <w:rsid w:val="66D553C4"/>
    <w:rsid w:val="66D61A8D"/>
    <w:rsid w:val="66DA3497"/>
    <w:rsid w:val="66DC5BF8"/>
    <w:rsid w:val="66DE03BA"/>
    <w:rsid w:val="66E173F9"/>
    <w:rsid w:val="66E3226C"/>
    <w:rsid w:val="66E611A7"/>
    <w:rsid w:val="66E80EB0"/>
    <w:rsid w:val="66EC5E36"/>
    <w:rsid w:val="66F569E1"/>
    <w:rsid w:val="66F76034"/>
    <w:rsid w:val="67066C06"/>
    <w:rsid w:val="670E7B80"/>
    <w:rsid w:val="6713591F"/>
    <w:rsid w:val="67181932"/>
    <w:rsid w:val="6726232E"/>
    <w:rsid w:val="67292022"/>
    <w:rsid w:val="672A4901"/>
    <w:rsid w:val="67331724"/>
    <w:rsid w:val="673360E2"/>
    <w:rsid w:val="67346319"/>
    <w:rsid w:val="67441B08"/>
    <w:rsid w:val="674E2802"/>
    <w:rsid w:val="674F6E76"/>
    <w:rsid w:val="67513E69"/>
    <w:rsid w:val="675A17FE"/>
    <w:rsid w:val="675F51EB"/>
    <w:rsid w:val="67617AF0"/>
    <w:rsid w:val="67671D7D"/>
    <w:rsid w:val="6768655A"/>
    <w:rsid w:val="676E1585"/>
    <w:rsid w:val="67775952"/>
    <w:rsid w:val="677E2FA1"/>
    <w:rsid w:val="67813AAE"/>
    <w:rsid w:val="67834615"/>
    <w:rsid w:val="67836FB1"/>
    <w:rsid w:val="678764D7"/>
    <w:rsid w:val="678A12A7"/>
    <w:rsid w:val="678A44B2"/>
    <w:rsid w:val="678C1D52"/>
    <w:rsid w:val="678D19D7"/>
    <w:rsid w:val="679401F8"/>
    <w:rsid w:val="67973403"/>
    <w:rsid w:val="6797520C"/>
    <w:rsid w:val="67A67078"/>
    <w:rsid w:val="67AC341B"/>
    <w:rsid w:val="67B10069"/>
    <w:rsid w:val="67B42C3D"/>
    <w:rsid w:val="67B861F9"/>
    <w:rsid w:val="67C149C0"/>
    <w:rsid w:val="67C7427D"/>
    <w:rsid w:val="67CA7967"/>
    <w:rsid w:val="67CC38C5"/>
    <w:rsid w:val="67D9695E"/>
    <w:rsid w:val="67DC5CEA"/>
    <w:rsid w:val="67DF18A0"/>
    <w:rsid w:val="67E024C8"/>
    <w:rsid w:val="67F5522D"/>
    <w:rsid w:val="67F73BC6"/>
    <w:rsid w:val="680965F8"/>
    <w:rsid w:val="680E4ECF"/>
    <w:rsid w:val="6811066C"/>
    <w:rsid w:val="68127886"/>
    <w:rsid w:val="68135F70"/>
    <w:rsid w:val="681778E7"/>
    <w:rsid w:val="68181338"/>
    <w:rsid w:val="681B5BF4"/>
    <w:rsid w:val="68240EAA"/>
    <w:rsid w:val="6825323C"/>
    <w:rsid w:val="68356624"/>
    <w:rsid w:val="683D75A2"/>
    <w:rsid w:val="683F63B6"/>
    <w:rsid w:val="68436C4F"/>
    <w:rsid w:val="68451270"/>
    <w:rsid w:val="68470104"/>
    <w:rsid w:val="684F1282"/>
    <w:rsid w:val="6850356A"/>
    <w:rsid w:val="685465AC"/>
    <w:rsid w:val="68650339"/>
    <w:rsid w:val="68670AE1"/>
    <w:rsid w:val="68733F18"/>
    <w:rsid w:val="687442EE"/>
    <w:rsid w:val="68772A56"/>
    <w:rsid w:val="687835F0"/>
    <w:rsid w:val="687E1768"/>
    <w:rsid w:val="68840103"/>
    <w:rsid w:val="689B3E14"/>
    <w:rsid w:val="689C5C1D"/>
    <w:rsid w:val="689D6F4C"/>
    <w:rsid w:val="689F2FA0"/>
    <w:rsid w:val="68A02CE9"/>
    <w:rsid w:val="68A036C8"/>
    <w:rsid w:val="68A41350"/>
    <w:rsid w:val="68A47350"/>
    <w:rsid w:val="68AD26AA"/>
    <w:rsid w:val="68AE2B22"/>
    <w:rsid w:val="68BC14B0"/>
    <w:rsid w:val="68BC512A"/>
    <w:rsid w:val="68BF0078"/>
    <w:rsid w:val="68C20D16"/>
    <w:rsid w:val="68DA02E4"/>
    <w:rsid w:val="68DD619B"/>
    <w:rsid w:val="68DF39E4"/>
    <w:rsid w:val="68EC3A15"/>
    <w:rsid w:val="68ED69A7"/>
    <w:rsid w:val="68FD5593"/>
    <w:rsid w:val="69073414"/>
    <w:rsid w:val="690C4501"/>
    <w:rsid w:val="69101E60"/>
    <w:rsid w:val="6911326A"/>
    <w:rsid w:val="69183F42"/>
    <w:rsid w:val="691B307E"/>
    <w:rsid w:val="691D4548"/>
    <w:rsid w:val="692B3BF3"/>
    <w:rsid w:val="692F1256"/>
    <w:rsid w:val="69301A1D"/>
    <w:rsid w:val="6934218F"/>
    <w:rsid w:val="69397C63"/>
    <w:rsid w:val="693C5AA5"/>
    <w:rsid w:val="693D00F1"/>
    <w:rsid w:val="693E13B7"/>
    <w:rsid w:val="69421566"/>
    <w:rsid w:val="69430240"/>
    <w:rsid w:val="694A6D5C"/>
    <w:rsid w:val="6951205B"/>
    <w:rsid w:val="6953741D"/>
    <w:rsid w:val="69552B47"/>
    <w:rsid w:val="6956014F"/>
    <w:rsid w:val="695D3398"/>
    <w:rsid w:val="69640ECF"/>
    <w:rsid w:val="69667088"/>
    <w:rsid w:val="696F3842"/>
    <w:rsid w:val="69731101"/>
    <w:rsid w:val="6974083C"/>
    <w:rsid w:val="697D087B"/>
    <w:rsid w:val="69807B1E"/>
    <w:rsid w:val="699562F0"/>
    <w:rsid w:val="69A71B52"/>
    <w:rsid w:val="69A7770D"/>
    <w:rsid w:val="69A966F8"/>
    <w:rsid w:val="69AC0B64"/>
    <w:rsid w:val="69B21961"/>
    <w:rsid w:val="69B27491"/>
    <w:rsid w:val="69B27C94"/>
    <w:rsid w:val="69BA2288"/>
    <w:rsid w:val="69BB7CE2"/>
    <w:rsid w:val="69C2365E"/>
    <w:rsid w:val="69D2134C"/>
    <w:rsid w:val="69D537ED"/>
    <w:rsid w:val="69DC3AC1"/>
    <w:rsid w:val="69E6402E"/>
    <w:rsid w:val="69E673F8"/>
    <w:rsid w:val="69EA6C64"/>
    <w:rsid w:val="69EB2120"/>
    <w:rsid w:val="69EF180F"/>
    <w:rsid w:val="69F00B35"/>
    <w:rsid w:val="69F10C55"/>
    <w:rsid w:val="69F224F8"/>
    <w:rsid w:val="69F3045E"/>
    <w:rsid w:val="69F3790F"/>
    <w:rsid w:val="6A036F5F"/>
    <w:rsid w:val="6A12415B"/>
    <w:rsid w:val="6A152CC8"/>
    <w:rsid w:val="6A172663"/>
    <w:rsid w:val="6A1D05D4"/>
    <w:rsid w:val="6A245089"/>
    <w:rsid w:val="6A25601C"/>
    <w:rsid w:val="6A2747BB"/>
    <w:rsid w:val="6A2750C5"/>
    <w:rsid w:val="6A290AA5"/>
    <w:rsid w:val="6A2A46CE"/>
    <w:rsid w:val="6A2F521E"/>
    <w:rsid w:val="6A344359"/>
    <w:rsid w:val="6A3A1167"/>
    <w:rsid w:val="6A3D030C"/>
    <w:rsid w:val="6A3F4FDB"/>
    <w:rsid w:val="6A4F41B2"/>
    <w:rsid w:val="6A532FF6"/>
    <w:rsid w:val="6A601C8F"/>
    <w:rsid w:val="6A7174A5"/>
    <w:rsid w:val="6A72508F"/>
    <w:rsid w:val="6A732254"/>
    <w:rsid w:val="6A774894"/>
    <w:rsid w:val="6A80364F"/>
    <w:rsid w:val="6A8C3EFF"/>
    <w:rsid w:val="6A916EED"/>
    <w:rsid w:val="6A9371B0"/>
    <w:rsid w:val="6A937D23"/>
    <w:rsid w:val="6A960003"/>
    <w:rsid w:val="6A9B5915"/>
    <w:rsid w:val="6A9B7735"/>
    <w:rsid w:val="6AA02774"/>
    <w:rsid w:val="6AA258AD"/>
    <w:rsid w:val="6AA41157"/>
    <w:rsid w:val="6AAB31D6"/>
    <w:rsid w:val="6AAD09E5"/>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D0481"/>
    <w:rsid w:val="6B0E002C"/>
    <w:rsid w:val="6B11682D"/>
    <w:rsid w:val="6B187FDA"/>
    <w:rsid w:val="6B21318E"/>
    <w:rsid w:val="6B285741"/>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85D05"/>
    <w:rsid w:val="6B7F7BD7"/>
    <w:rsid w:val="6B846AF2"/>
    <w:rsid w:val="6B95396B"/>
    <w:rsid w:val="6BAC0EF7"/>
    <w:rsid w:val="6BB44626"/>
    <w:rsid w:val="6BBB00B1"/>
    <w:rsid w:val="6BBD3E9D"/>
    <w:rsid w:val="6BC03721"/>
    <w:rsid w:val="6BC51A97"/>
    <w:rsid w:val="6BCC01D5"/>
    <w:rsid w:val="6BCF2DCA"/>
    <w:rsid w:val="6BD72624"/>
    <w:rsid w:val="6BDD0493"/>
    <w:rsid w:val="6BDE54AC"/>
    <w:rsid w:val="6BE068F6"/>
    <w:rsid w:val="6BE072B5"/>
    <w:rsid w:val="6BEC52EB"/>
    <w:rsid w:val="6BF229CE"/>
    <w:rsid w:val="6BF25C39"/>
    <w:rsid w:val="6BF45555"/>
    <w:rsid w:val="6C06150E"/>
    <w:rsid w:val="6C072806"/>
    <w:rsid w:val="6C140094"/>
    <w:rsid w:val="6C155F31"/>
    <w:rsid w:val="6C206E21"/>
    <w:rsid w:val="6C263A06"/>
    <w:rsid w:val="6C3A624E"/>
    <w:rsid w:val="6C3F4795"/>
    <w:rsid w:val="6C431738"/>
    <w:rsid w:val="6C505966"/>
    <w:rsid w:val="6C570228"/>
    <w:rsid w:val="6C5D04BB"/>
    <w:rsid w:val="6C666C3C"/>
    <w:rsid w:val="6C6833E1"/>
    <w:rsid w:val="6C6D48B6"/>
    <w:rsid w:val="6C8035BD"/>
    <w:rsid w:val="6C8E4315"/>
    <w:rsid w:val="6C95615F"/>
    <w:rsid w:val="6CA94419"/>
    <w:rsid w:val="6CB242A2"/>
    <w:rsid w:val="6CC818AD"/>
    <w:rsid w:val="6CE0612A"/>
    <w:rsid w:val="6CE269D3"/>
    <w:rsid w:val="6CEC448A"/>
    <w:rsid w:val="6CED284E"/>
    <w:rsid w:val="6CF04EB7"/>
    <w:rsid w:val="6CF17872"/>
    <w:rsid w:val="6CF26AC2"/>
    <w:rsid w:val="6CF76712"/>
    <w:rsid w:val="6CFD23D1"/>
    <w:rsid w:val="6D033EFD"/>
    <w:rsid w:val="6D0652BF"/>
    <w:rsid w:val="6D0A7734"/>
    <w:rsid w:val="6D0B0E35"/>
    <w:rsid w:val="6D0D6D19"/>
    <w:rsid w:val="6D273B17"/>
    <w:rsid w:val="6D274676"/>
    <w:rsid w:val="6D2F28AD"/>
    <w:rsid w:val="6D2F4B50"/>
    <w:rsid w:val="6D385ED1"/>
    <w:rsid w:val="6D3967DF"/>
    <w:rsid w:val="6D3B5F83"/>
    <w:rsid w:val="6D3C14B2"/>
    <w:rsid w:val="6D436625"/>
    <w:rsid w:val="6D4720E6"/>
    <w:rsid w:val="6D4A7F79"/>
    <w:rsid w:val="6D4B7436"/>
    <w:rsid w:val="6D5E64E8"/>
    <w:rsid w:val="6D652ED0"/>
    <w:rsid w:val="6D662717"/>
    <w:rsid w:val="6D663299"/>
    <w:rsid w:val="6D692F54"/>
    <w:rsid w:val="6D6E2840"/>
    <w:rsid w:val="6D770FC8"/>
    <w:rsid w:val="6D7C26B1"/>
    <w:rsid w:val="6D7D5646"/>
    <w:rsid w:val="6D816186"/>
    <w:rsid w:val="6D90338E"/>
    <w:rsid w:val="6D925740"/>
    <w:rsid w:val="6D927533"/>
    <w:rsid w:val="6D9D3EE4"/>
    <w:rsid w:val="6D9E7C69"/>
    <w:rsid w:val="6DA71839"/>
    <w:rsid w:val="6DA84071"/>
    <w:rsid w:val="6DB20233"/>
    <w:rsid w:val="6DB81D13"/>
    <w:rsid w:val="6DBD3747"/>
    <w:rsid w:val="6DC54D30"/>
    <w:rsid w:val="6DC65806"/>
    <w:rsid w:val="6DDF0294"/>
    <w:rsid w:val="6DDF0A92"/>
    <w:rsid w:val="6DE9618F"/>
    <w:rsid w:val="6DED02CD"/>
    <w:rsid w:val="6DF07F1A"/>
    <w:rsid w:val="6DF6740D"/>
    <w:rsid w:val="6DF92BCB"/>
    <w:rsid w:val="6DFB06CC"/>
    <w:rsid w:val="6E035B81"/>
    <w:rsid w:val="6E0F0D37"/>
    <w:rsid w:val="6E0F320E"/>
    <w:rsid w:val="6E114B44"/>
    <w:rsid w:val="6E131686"/>
    <w:rsid w:val="6E1B4CD0"/>
    <w:rsid w:val="6E1C2489"/>
    <w:rsid w:val="6E214C6C"/>
    <w:rsid w:val="6E225993"/>
    <w:rsid w:val="6E2A0DD8"/>
    <w:rsid w:val="6E35742E"/>
    <w:rsid w:val="6E376A3A"/>
    <w:rsid w:val="6E3E181B"/>
    <w:rsid w:val="6E3F1C0F"/>
    <w:rsid w:val="6E4535C4"/>
    <w:rsid w:val="6E484191"/>
    <w:rsid w:val="6E4E0EC4"/>
    <w:rsid w:val="6E561494"/>
    <w:rsid w:val="6E567CD0"/>
    <w:rsid w:val="6E6224C4"/>
    <w:rsid w:val="6E633CB5"/>
    <w:rsid w:val="6E642A60"/>
    <w:rsid w:val="6E7106EF"/>
    <w:rsid w:val="6E72570E"/>
    <w:rsid w:val="6E785A45"/>
    <w:rsid w:val="6E796FC0"/>
    <w:rsid w:val="6E917497"/>
    <w:rsid w:val="6EA13305"/>
    <w:rsid w:val="6EAB29FB"/>
    <w:rsid w:val="6EB32B7F"/>
    <w:rsid w:val="6EB46F18"/>
    <w:rsid w:val="6EB63507"/>
    <w:rsid w:val="6EBD4DFF"/>
    <w:rsid w:val="6EC23093"/>
    <w:rsid w:val="6EC23231"/>
    <w:rsid w:val="6EC310A5"/>
    <w:rsid w:val="6EC43237"/>
    <w:rsid w:val="6EC73357"/>
    <w:rsid w:val="6EC737C7"/>
    <w:rsid w:val="6ED163C0"/>
    <w:rsid w:val="6ED266F7"/>
    <w:rsid w:val="6EE939F2"/>
    <w:rsid w:val="6F021829"/>
    <w:rsid w:val="6F08724A"/>
    <w:rsid w:val="6F0B53B3"/>
    <w:rsid w:val="6F14289F"/>
    <w:rsid w:val="6F162C84"/>
    <w:rsid w:val="6F28223D"/>
    <w:rsid w:val="6F28474F"/>
    <w:rsid w:val="6F350882"/>
    <w:rsid w:val="6F35635E"/>
    <w:rsid w:val="6F3713E9"/>
    <w:rsid w:val="6F384951"/>
    <w:rsid w:val="6F4876AF"/>
    <w:rsid w:val="6F537FC0"/>
    <w:rsid w:val="6F607895"/>
    <w:rsid w:val="6F61040C"/>
    <w:rsid w:val="6F6776E1"/>
    <w:rsid w:val="6F702CF5"/>
    <w:rsid w:val="6F7A0C79"/>
    <w:rsid w:val="6F7E1B78"/>
    <w:rsid w:val="6F9C5D71"/>
    <w:rsid w:val="6FA3781E"/>
    <w:rsid w:val="6FAC61CF"/>
    <w:rsid w:val="6FAF5C06"/>
    <w:rsid w:val="6FB32C37"/>
    <w:rsid w:val="6FB415FB"/>
    <w:rsid w:val="6FB80EE8"/>
    <w:rsid w:val="6FC0781E"/>
    <w:rsid w:val="6FD36624"/>
    <w:rsid w:val="6FDF44E2"/>
    <w:rsid w:val="6FE53444"/>
    <w:rsid w:val="6FE76FE3"/>
    <w:rsid w:val="6FF1528E"/>
    <w:rsid w:val="6FF561D1"/>
    <w:rsid w:val="700C0460"/>
    <w:rsid w:val="701458A7"/>
    <w:rsid w:val="70152C7C"/>
    <w:rsid w:val="70170F2B"/>
    <w:rsid w:val="701830B7"/>
    <w:rsid w:val="701E2FAB"/>
    <w:rsid w:val="70206C25"/>
    <w:rsid w:val="702267D2"/>
    <w:rsid w:val="702E281A"/>
    <w:rsid w:val="70370653"/>
    <w:rsid w:val="70385F59"/>
    <w:rsid w:val="70387A8F"/>
    <w:rsid w:val="70494AF1"/>
    <w:rsid w:val="704A6916"/>
    <w:rsid w:val="70562B9B"/>
    <w:rsid w:val="70613B46"/>
    <w:rsid w:val="70680AC8"/>
    <w:rsid w:val="70684400"/>
    <w:rsid w:val="706D51B8"/>
    <w:rsid w:val="70712877"/>
    <w:rsid w:val="70767F2C"/>
    <w:rsid w:val="70785A86"/>
    <w:rsid w:val="707E62BB"/>
    <w:rsid w:val="70910C43"/>
    <w:rsid w:val="70992BBC"/>
    <w:rsid w:val="709E4E34"/>
    <w:rsid w:val="709E640C"/>
    <w:rsid w:val="70A106DA"/>
    <w:rsid w:val="70A12BB3"/>
    <w:rsid w:val="70A156F4"/>
    <w:rsid w:val="70AC0E63"/>
    <w:rsid w:val="70AD5CCA"/>
    <w:rsid w:val="70AF55CD"/>
    <w:rsid w:val="70B56633"/>
    <w:rsid w:val="70BB0D3E"/>
    <w:rsid w:val="70C52734"/>
    <w:rsid w:val="70C84253"/>
    <w:rsid w:val="70CA126A"/>
    <w:rsid w:val="70CB6779"/>
    <w:rsid w:val="70CE384D"/>
    <w:rsid w:val="70CF3906"/>
    <w:rsid w:val="70D842EC"/>
    <w:rsid w:val="70D91094"/>
    <w:rsid w:val="70DB76EF"/>
    <w:rsid w:val="70E47264"/>
    <w:rsid w:val="70F04773"/>
    <w:rsid w:val="70FC4717"/>
    <w:rsid w:val="710524E2"/>
    <w:rsid w:val="710B03C6"/>
    <w:rsid w:val="7110727C"/>
    <w:rsid w:val="711604AB"/>
    <w:rsid w:val="71164679"/>
    <w:rsid w:val="712762EB"/>
    <w:rsid w:val="712B6159"/>
    <w:rsid w:val="712D2ADB"/>
    <w:rsid w:val="712D4159"/>
    <w:rsid w:val="712D5738"/>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BB6D55"/>
    <w:rsid w:val="71C061A0"/>
    <w:rsid w:val="71C2301C"/>
    <w:rsid w:val="71C45E90"/>
    <w:rsid w:val="71C96C07"/>
    <w:rsid w:val="71CD28DD"/>
    <w:rsid w:val="71D00811"/>
    <w:rsid w:val="71D774C5"/>
    <w:rsid w:val="71D8692F"/>
    <w:rsid w:val="71DA7C5F"/>
    <w:rsid w:val="71DE4C74"/>
    <w:rsid w:val="71E3397B"/>
    <w:rsid w:val="71E346E4"/>
    <w:rsid w:val="71E56A62"/>
    <w:rsid w:val="71E767FC"/>
    <w:rsid w:val="71EF5D41"/>
    <w:rsid w:val="71FC70DF"/>
    <w:rsid w:val="72056436"/>
    <w:rsid w:val="720979A0"/>
    <w:rsid w:val="720F633E"/>
    <w:rsid w:val="72130B93"/>
    <w:rsid w:val="721C688B"/>
    <w:rsid w:val="72200AF0"/>
    <w:rsid w:val="72236626"/>
    <w:rsid w:val="722E7DFE"/>
    <w:rsid w:val="723749D7"/>
    <w:rsid w:val="7240738A"/>
    <w:rsid w:val="724E54F1"/>
    <w:rsid w:val="7254202A"/>
    <w:rsid w:val="72632A3F"/>
    <w:rsid w:val="727334E4"/>
    <w:rsid w:val="72756082"/>
    <w:rsid w:val="72772DDB"/>
    <w:rsid w:val="727B2E39"/>
    <w:rsid w:val="72827328"/>
    <w:rsid w:val="72851C47"/>
    <w:rsid w:val="728B2CA4"/>
    <w:rsid w:val="728B509F"/>
    <w:rsid w:val="728F0A31"/>
    <w:rsid w:val="729A297B"/>
    <w:rsid w:val="72A310CE"/>
    <w:rsid w:val="72A60BAC"/>
    <w:rsid w:val="72B23B41"/>
    <w:rsid w:val="72B326DC"/>
    <w:rsid w:val="72B5351F"/>
    <w:rsid w:val="72B554F8"/>
    <w:rsid w:val="72B751B8"/>
    <w:rsid w:val="72C20527"/>
    <w:rsid w:val="72CE3184"/>
    <w:rsid w:val="72CE7D06"/>
    <w:rsid w:val="72CF40C2"/>
    <w:rsid w:val="72D456A5"/>
    <w:rsid w:val="72E53A29"/>
    <w:rsid w:val="72E70D52"/>
    <w:rsid w:val="72EA6B66"/>
    <w:rsid w:val="72EB0242"/>
    <w:rsid w:val="72FB32E0"/>
    <w:rsid w:val="72FB39EE"/>
    <w:rsid w:val="7302733B"/>
    <w:rsid w:val="73036270"/>
    <w:rsid w:val="731649D2"/>
    <w:rsid w:val="731C28E7"/>
    <w:rsid w:val="7326097A"/>
    <w:rsid w:val="732A4A9B"/>
    <w:rsid w:val="733202B6"/>
    <w:rsid w:val="73343997"/>
    <w:rsid w:val="73370B0A"/>
    <w:rsid w:val="733C723A"/>
    <w:rsid w:val="733C7C6A"/>
    <w:rsid w:val="73510529"/>
    <w:rsid w:val="73574996"/>
    <w:rsid w:val="735C705A"/>
    <w:rsid w:val="736411CC"/>
    <w:rsid w:val="73690216"/>
    <w:rsid w:val="736A02D8"/>
    <w:rsid w:val="736C1945"/>
    <w:rsid w:val="737115D9"/>
    <w:rsid w:val="73814AA3"/>
    <w:rsid w:val="73893467"/>
    <w:rsid w:val="738A36E1"/>
    <w:rsid w:val="73912A81"/>
    <w:rsid w:val="73970334"/>
    <w:rsid w:val="73973C3B"/>
    <w:rsid w:val="739B1EFF"/>
    <w:rsid w:val="73A16D22"/>
    <w:rsid w:val="73B1400F"/>
    <w:rsid w:val="73B4548F"/>
    <w:rsid w:val="73B7366A"/>
    <w:rsid w:val="73BA064C"/>
    <w:rsid w:val="73BB3C6E"/>
    <w:rsid w:val="73CE1997"/>
    <w:rsid w:val="73D260A7"/>
    <w:rsid w:val="73D62143"/>
    <w:rsid w:val="73DB45F5"/>
    <w:rsid w:val="73DD3CB3"/>
    <w:rsid w:val="73DE1AB7"/>
    <w:rsid w:val="73E44595"/>
    <w:rsid w:val="73EC7C9D"/>
    <w:rsid w:val="73EE33F4"/>
    <w:rsid w:val="73EE6F0E"/>
    <w:rsid w:val="73F5257C"/>
    <w:rsid w:val="73F67B1C"/>
    <w:rsid w:val="73FF2CB2"/>
    <w:rsid w:val="7407051F"/>
    <w:rsid w:val="740D7326"/>
    <w:rsid w:val="740E71A7"/>
    <w:rsid w:val="741076D1"/>
    <w:rsid w:val="74115578"/>
    <w:rsid w:val="74141C1A"/>
    <w:rsid w:val="74215D04"/>
    <w:rsid w:val="74257C35"/>
    <w:rsid w:val="742A0965"/>
    <w:rsid w:val="742D019C"/>
    <w:rsid w:val="742D6DB6"/>
    <w:rsid w:val="742E74D7"/>
    <w:rsid w:val="744445AC"/>
    <w:rsid w:val="744642D9"/>
    <w:rsid w:val="74522D94"/>
    <w:rsid w:val="746B086B"/>
    <w:rsid w:val="746C430C"/>
    <w:rsid w:val="74775754"/>
    <w:rsid w:val="749D5800"/>
    <w:rsid w:val="74A73312"/>
    <w:rsid w:val="74A906C0"/>
    <w:rsid w:val="74B06962"/>
    <w:rsid w:val="74B32215"/>
    <w:rsid w:val="74BC7516"/>
    <w:rsid w:val="74C0607C"/>
    <w:rsid w:val="74C46840"/>
    <w:rsid w:val="74D575AA"/>
    <w:rsid w:val="74D71DDE"/>
    <w:rsid w:val="74DA7956"/>
    <w:rsid w:val="74E11F86"/>
    <w:rsid w:val="74FB509B"/>
    <w:rsid w:val="74FB6035"/>
    <w:rsid w:val="7502618E"/>
    <w:rsid w:val="750934A8"/>
    <w:rsid w:val="750A15E4"/>
    <w:rsid w:val="750C76FA"/>
    <w:rsid w:val="752B3381"/>
    <w:rsid w:val="75325694"/>
    <w:rsid w:val="75360418"/>
    <w:rsid w:val="75376E15"/>
    <w:rsid w:val="75387284"/>
    <w:rsid w:val="753B454F"/>
    <w:rsid w:val="75441B17"/>
    <w:rsid w:val="75457EFF"/>
    <w:rsid w:val="75505729"/>
    <w:rsid w:val="7554481F"/>
    <w:rsid w:val="75594581"/>
    <w:rsid w:val="755A5494"/>
    <w:rsid w:val="75625A16"/>
    <w:rsid w:val="7564200E"/>
    <w:rsid w:val="75663FD1"/>
    <w:rsid w:val="757540E3"/>
    <w:rsid w:val="75912385"/>
    <w:rsid w:val="75943CBF"/>
    <w:rsid w:val="759739B3"/>
    <w:rsid w:val="759B02AD"/>
    <w:rsid w:val="759B0C43"/>
    <w:rsid w:val="759B5CAF"/>
    <w:rsid w:val="75A53BC6"/>
    <w:rsid w:val="75C123A7"/>
    <w:rsid w:val="75C1550C"/>
    <w:rsid w:val="75CC74C8"/>
    <w:rsid w:val="75CD2584"/>
    <w:rsid w:val="75D1230F"/>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C6584"/>
    <w:rsid w:val="762D70E7"/>
    <w:rsid w:val="7630359D"/>
    <w:rsid w:val="763B42FB"/>
    <w:rsid w:val="763D4BE9"/>
    <w:rsid w:val="763F1F92"/>
    <w:rsid w:val="76424474"/>
    <w:rsid w:val="76437632"/>
    <w:rsid w:val="76451CD6"/>
    <w:rsid w:val="76452780"/>
    <w:rsid w:val="764F7670"/>
    <w:rsid w:val="76526C65"/>
    <w:rsid w:val="76587361"/>
    <w:rsid w:val="765C1B59"/>
    <w:rsid w:val="765F0FBA"/>
    <w:rsid w:val="766314AA"/>
    <w:rsid w:val="76674D6A"/>
    <w:rsid w:val="76690632"/>
    <w:rsid w:val="767469E2"/>
    <w:rsid w:val="76775F0B"/>
    <w:rsid w:val="767E2DAC"/>
    <w:rsid w:val="767F3C48"/>
    <w:rsid w:val="76834FD8"/>
    <w:rsid w:val="76894819"/>
    <w:rsid w:val="768D57E3"/>
    <w:rsid w:val="769310D2"/>
    <w:rsid w:val="76932317"/>
    <w:rsid w:val="76A53B61"/>
    <w:rsid w:val="76A56898"/>
    <w:rsid w:val="76A85DBC"/>
    <w:rsid w:val="76B153BA"/>
    <w:rsid w:val="76BE7B18"/>
    <w:rsid w:val="76C72CA0"/>
    <w:rsid w:val="76ED0EF4"/>
    <w:rsid w:val="76F2295F"/>
    <w:rsid w:val="76F50A9F"/>
    <w:rsid w:val="76FD2D1D"/>
    <w:rsid w:val="770F088C"/>
    <w:rsid w:val="77187F65"/>
    <w:rsid w:val="772646B7"/>
    <w:rsid w:val="77284F7D"/>
    <w:rsid w:val="7729766A"/>
    <w:rsid w:val="772C6525"/>
    <w:rsid w:val="772D35A6"/>
    <w:rsid w:val="772D3786"/>
    <w:rsid w:val="773A62B8"/>
    <w:rsid w:val="77422DC5"/>
    <w:rsid w:val="7743723B"/>
    <w:rsid w:val="77490C6C"/>
    <w:rsid w:val="774B3934"/>
    <w:rsid w:val="774D47BD"/>
    <w:rsid w:val="774D74CC"/>
    <w:rsid w:val="77551F00"/>
    <w:rsid w:val="77623E7A"/>
    <w:rsid w:val="77650E66"/>
    <w:rsid w:val="776A53C0"/>
    <w:rsid w:val="77721E49"/>
    <w:rsid w:val="777B5F51"/>
    <w:rsid w:val="777D53E6"/>
    <w:rsid w:val="777E1FE2"/>
    <w:rsid w:val="777E4CB8"/>
    <w:rsid w:val="778067C2"/>
    <w:rsid w:val="77847A56"/>
    <w:rsid w:val="778F0D7D"/>
    <w:rsid w:val="778F49BD"/>
    <w:rsid w:val="77966F4C"/>
    <w:rsid w:val="779D7890"/>
    <w:rsid w:val="77A31525"/>
    <w:rsid w:val="77A74019"/>
    <w:rsid w:val="77A75021"/>
    <w:rsid w:val="77B4796D"/>
    <w:rsid w:val="77B8689C"/>
    <w:rsid w:val="77B92F7E"/>
    <w:rsid w:val="77BB3111"/>
    <w:rsid w:val="77BD5A24"/>
    <w:rsid w:val="77C2510C"/>
    <w:rsid w:val="77C833A2"/>
    <w:rsid w:val="77CD2E66"/>
    <w:rsid w:val="77D21E05"/>
    <w:rsid w:val="77E568E3"/>
    <w:rsid w:val="77EE19D2"/>
    <w:rsid w:val="77F62779"/>
    <w:rsid w:val="78036043"/>
    <w:rsid w:val="78120646"/>
    <w:rsid w:val="7813374F"/>
    <w:rsid w:val="781509F6"/>
    <w:rsid w:val="781838FF"/>
    <w:rsid w:val="781B3886"/>
    <w:rsid w:val="78306028"/>
    <w:rsid w:val="78316382"/>
    <w:rsid w:val="78355626"/>
    <w:rsid w:val="78375EBD"/>
    <w:rsid w:val="78410AF5"/>
    <w:rsid w:val="784151EC"/>
    <w:rsid w:val="78431FD5"/>
    <w:rsid w:val="784563AF"/>
    <w:rsid w:val="7849196F"/>
    <w:rsid w:val="78505CDF"/>
    <w:rsid w:val="785841BC"/>
    <w:rsid w:val="78591903"/>
    <w:rsid w:val="787659AD"/>
    <w:rsid w:val="7888219B"/>
    <w:rsid w:val="78887070"/>
    <w:rsid w:val="788908C8"/>
    <w:rsid w:val="78993306"/>
    <w:rsid w:val="78A561F3"/>
    <w:rsid w:val="78AB3452"/>
    <w:rsid w:val="78B0117B"/>
    <w:rsid w:val="78B91C9F"/>
    <w:rsid w:val="78BC539D"/>
    <w:rsid w:val="78C134B0"/>
    <w:rsid w:val="78C64CC0"/>
    <w:rsid w:val="78C67D14"/>
    <w:rsid w:val="78CD3535"/>
    <w:rsid w:val="78D97F0E"/>
    <w:rsid w:val="78DA009A"/>
    <w:rsid w:val="78DC2FA9"/>
    <w:rsid w:val="78DD4939"/>
    <w:rsid w:val="78E062D1"/>
    <w:rsid w:val="78F40C87"/>
    <w:rsid w:val="78F66B5A"/>
    <w:rsid w:val="78FC7FC2"/>
    <w:rsid w:val="79042DE3"/>
    <w:rsid w:val="790704DF"/>
    <w:rsid w:val="790D0BF3"/>
    <w:rsid w:val="790D4F70"/>
    <w:rsid w:val="791474A8"/>
    <w:rsid w:val="79176206"/>
    <w:rsid w:val="79193B81"/>
    <w:rsid w:val="791C7612"/>
    <w:rsid w:val="79213934"/>
    <w:rsid w:val="79221399"/>
    <w:rsid w:val="79350D11"/>
    <w:rsid w:val="79351894"/>
    <w:rsid w:val="7940572D"/>
    <w:rsid w:val="79461391"/>
    <w:rsid w:val="79474814"/>
    <w:rsid w:val="79492AA1"/>
    <w:rsid w:val="794B4D74"/>
    <w:rsid w:val="794D75DF"/>
    <w:rsid w:val="79501475"/>
    <w:rsid w:val="79524043"/>
    <w:rsid w:val="795A5499"/>
    <w:rsid w:val="79651377"/>
    <w:rsid w:val="796E35F2"/>
    <w:rsid w:val="7971290E"/>
    <w:rsid w:val="79762768"/>
    <w:rsid w:val="79790DCC"/>
    <w:rsid w:val="797951A9"/>
    <w:rsid w:val="79852B10"/>
    <w:rsid w:val="7990174F"/>
    <w:rsid w:val="79A03D48"/>
    <w:rsid w:val="79A15149"/>
    <w:rsid w:val="79A37CCA"/>
    <w:rsid w:val="79A71C2E"/>
    <w:rsid w:val="79A74BCA"/>
    <w:rsid w:val="79AE39E9"/>
    <w:rsid w:val="79B57356"/>
    <w:rsid w:val="79B74D95"/>
    <w:rsid w:val="79BD3E41"/>
    <w:rsid w:val="79BF2784"/>
    <w:rsid w:val="79C0597A"/>
    <w:rsid w:val="79C24EDF"/>
    <w:rsid w:val="79C66717"/>
    <w:rsid w:val="79C95AED"/>
    <w:rsid w:val="79D62785"/>
    <w:rsid w:val="79DF1EBA"/>
    <w:rsid w:val="79E12ED9"/>
    <w:rsid w:val="79E352FF"/>
    <w:rsid w:val="79E9023D"/>
    <w:rsid w:val="79ED6701"/>
    <w:rsid w:val="79EE7E8E"/>
    <w:rsid w:val="79F30A3A"/>
    <w:rsid w:val="79FB2D0B"/>
    <w:rsid w:val="7A052E17"/>
    <w:rsid w:val="7A097B67"/>
    <w:rsid w:val="7A0F1525"/>
    <w:rsid w:val="7A157806"/>
    <w:rsid w:val="7A262C2D"/>
    <w:rsid w:val="7A291938"/>
    <w:rsid w:val="7A3D7CC0"/>
    <w:rsid w:val="7A4006D3"/>
    <w:rsid w:val="7A4D07BA"/>
    <w:rsid w:val="7A572393"/>
    <w:rsid w:val="7A5863D3"/>
    <w:rsid w:val="7A5C5FAF"/>
    <w:rsid w:val="7A634604"/>
    <w:rsid w:val="7A64499E"/>
    <w:rsid w:val="7A6656B6"/>
    <w:rsid w:val="7A723F72"/>
    <w:rsid w:val="7A743D9C"/>
    <w:rsid w:val="7A7D4128"/>
    <w:rsid w:val="7A820760"/>
    <w:rsid w:val="7A87742E"/>
    <w:rsid w:val="7A9123B7"/>
    <w:rsid w:val="7A9711EE"/>
    <w:rsid w:val="7A9A1B33"/>
    <w:rsid w:val="7A9C3E5C"/>
    <w:rsid w:val="7A9D1CEF"/>
    <w:rsid w:val="7AA16CBD"/>
    <w:rsid w:val="7AA5277A"/>
    <w:rsid w:val="7AA952CF"/>
    <w:rsid w:val="7AAE678B"/>
    <w:rsid w:val="7AB07C78"/>
    <w:rsid w:val="7AB514B2"/>
    <w:rsid w:val="7AC32058"/>
    <w:rsid w:val="7ACA29DF"/>
    <w:rsid w:val="7ACD2D7F"/>
    <w:rsid w:val="7AD27B42"/>
    <w:rsid w:val="7AD53EC1"/>
    <w:rsid w:val="7AD84E14"/>
    <w:rsid w:val="7ADB474B"/>
    <w:rsid w:val="7ADB7F1A"/>
    <w:rsid w:val="7AE1759E"/>
    <w:rsid w:val="7AE32935"/>
    <w:rsid w:val="7AE55787"/>
    <w:rsid w:val="7AF91DAF"/>
    <w:rsid w:val="7AF9607E"/>
    <w:rsid w:val="7B18546A"/>
    <w:rsid w:val="7B1B467F"/>
    <w:rsid w:val="7B1F59AA"/>
    <w:rsid w:val="7B214978"/>
    <w:rsid w:val="7B391012"/>
    <w:rsid w:val="7B4A5781"/>
    <w:rsid w:val="7B4E09BF"/>
    <w:rsid w:val="7B5E2240"/>
    <w:rsid w:val="7B603C7C"/>
    <w:rsid w:val="7B65590F"/>
    <w:rsid w:val="7B6665A0"/>
    <w:rsid w:val="7B6E2AB1"/>
    <w:rsid w:val="7B771CED"/>
    <w:rsid w:val="7B7B5719"/>
    <w:rsid w:val="7B7C1A5E"/>
    <w:rsid w:val="7B802195"/>
    <w:rsid w:val="7B841287"/>
    <w:rsid w:val="7B8F170E"/>
    <w:rsid w:val="7B9422CC"/>
    <w:rsid w:val="7BA22D26"/>
    <w:rsid w:val="7BA521BC"/>
    <w:rsid w:val="7BA63294"/>
    <w:rsid w:val="7BAA2B37"/>
    <w:rsid w:val="7BAB7079"/>
    <w:rsid w:val="7BAE3D94"/>
    <w:rsid w:val="7BB145C1"/>
    <w:rsid w:val="7BB2241E"/>
    <w:rsid w:val="7BB37F9E"/>
    <w:rsid w:val="7BC17EBE"/>
    <w:rsid w:val="7BC43666"/>
    <w:rsid w:val="7BC8293C"/>
    <w:rsid w:val="7BC87053"/>
    <w:rsid w:val="7BD13894"/>
    <w:rsid w:val="7BDC009C"/>
    <w:rsid w:val="7BDE0174"/>
    <w:rsid w:val="7BDF18E6"/>
    <w:rsid w:val="7BE131F6"/>
    <w:rsid w:val="7BF11348"/>
    <w:rsid w:val="7BF4701E"/>
    <w:rsid w:val="7BF542FE"/>
    <w:rsid w:val="7BFF0642"/>
    <w:rsid w:val="7C056E44"/>
    <w:rsid w:val="7C206952"/>
    <w:rsid w:val="7C2D1C60"/>
    <w:rsid w:val="7C3832F5"/>
    <w:rsid w:val="7C42281E"/>
    <w:rsid w:val="7C453975"/>
    <w:rsid w:val="7C4C3FDF"/>
    <w:rsid w:val="7C610C91"/>
    <w:rsid w:val="7C613AEC"/>
    <w:rsid w:val="7C6E7E2C"/>
    <w:rsid w:val="7C734075"/>
    <w:rsid w:val="7C773CA6"/>
    <w:rsid w:val="7C8138DA"/>
    <w:rsid w:val="7C815D2A"/>
    <w:rsid w:val="7C831756"/>
    <w:rsid w:val="7C8C4CAB"/>
    <w:rsid w:val="7C982736"/>
    <w:rsid w:val="7C9A2FA3"/>
    <w:rsid w:val="7C9B7BAB"/>
    <w:rsid w:val="7C9E5A24"/>
    <w:rsid w:val="7CA3583F"/>
    <w:rsid w:val="7CA67728"/>
    <w:rsid w:val="7CB62523"/>
    <w:rsid w:val="7CC9009C"/>
    <w:rsid w:val="7CCA5583"/>
    <w:rsid w:val="7CD2158E"/>
    <w:rsid w:val="7CD72F9B"/>
    <w:rsid w:val="7CE146B6"/>
    <w:rsid w:val="7CE65C11"/>
    <w:rsid w:val="7CE70935"/>
    <w:rsid w:val="7CF84A31"/>
    <w:rsid w:val="7CFC44C2"/>
    <w:rsid w:val="7D013B39"/>
    <w:rsid w:val="7D060FAD"/>
    <w:rsid w:val="7D0826CA"/>
    <w:rsid w:val="7D0D06E5"/>
    <w:rsid w:val="7D130509"/>
    <w:rsid w:val="7D1946C0"/>
    <w:rsid w:val="7D1D7FE9"/>
    <w:rsid w:val="7D292A41"/>
    <w:rsid w:val="7D2A5CCB"/>
    <w:rsid w:val="7D363E2B"/>
    <w:rsid w:val="7D401CAA"/>
    <w:rsid w:val="7D4E195B"/>
    <w:rsid w:val="7D4F4D0A"/>
    <w:rsid w:val="7D515EFA"/>
    <w:rsid w:val="7D635C6D"/>
    <w:rsid w:val="7D64087E"/>
    <w:rsid w:val="7D69117D"/>
    <w:rsid w:val="7D696CB2"/>
    <w:rsid w:val="7D6C3C3B"/>
    <w:rsid w:val="7D7836CA"/>
    <w:rsid w:val="7D7A555A"/>
    <w:rsid w:val="7D7F5298"/>
    <w:rsid w:val="7D8362BA"/>
    <w:rsid w:val="7D8B7B11"/>
    <w:rsid w:val="7DA843EE"/>
    <w:rsid w:val="7DAB10BD"/>
    <w:rsid w:val="7DB66641"/>
    <w:rsid w:val="7DBF2E7A"/>
    <w:rsid w:val="7DC40797"/>
    <w:rsid w:val="7DCC7A63"/>
    <w:rsid w:val="7DD7657D"/>
    <w:rsid w:val="7DDA6C39"/>
    <w:rsid w:val="7DE15552"/>
    <w:rsid w:val="7DE16744"/>
    <w:rsid w:val="7DE661CB"/>
    <w:rsid w:val="7DEA7003"/>
    <w:rsid w:val="7DEB2C44"/>
    <w:rsid w:val="7DF16C9A"/>
    <w:rsid w:val="7DF464FC"/>
    <w:rsid w:val="7DFE63E1"/>
    <w:rsid w:val="7E006A11"/>
    <w:rsid w:val="7E131BFB"/>
    <w:rsid w:val="7E1C55F3"/>
    <w:rsid w:val="7E202566"/>
    <w:rsid w:val="7E222965"/>
    <w:rsid w:val="7E2E7D3F"/>
    <w:rsid w:val="7E330B2F"/>
    <w:rsid w:val="7E347694"/>
    <w:rsid w:val="7E3B5911"/>
    <w:rsid w:val="7E495416"/>
    <w:rsid w:val="7E497873"/>
    <w:rsid w:val="7E570488"/>
    <w:rsid w:val="7E573082"/>
    <w:rsid w:val="7E593C4C"/>
    <w:rsid w:val="7E712F31"/>
    <w:rsid w:val="7E750E81"/>
    <w:rsid w:val="7E760C9A"/>
    <w:rsid w:val="7E761EFC"/>
    <w:rsid w:val="7E8A6CCE"/>
    <w:rsid w:val="7E9044A6"/>
    <w:rsid w:val="7E922E52"/>
    <w:rsid w:val="7EA87297"/>
    <w:rsid w:val="7EAE1E9B"/>
    <w:rsid w:val="7EB56059"/>
    <w:rsid w:val="7EB73383"/>
    <w:rsid w:val="7EBD506F"/>
    <w:rsid w:val="7EC22792"/>
    <w:rsid w:val="7EC23404"/>
    <w:rsid w:val="7EC57DB4"/>
    <w:rsid w:val="7ED55364"/>
    <w:rsid w:val="7ED61FF8"/>
    <w:rsid w:val="7ED766B7"/>
    <w:rsid w:val="7EDE52DA"/>
    <w:rsid w:val="7EE53087"/>
    <w:rsid w:val="7EEB1AD7"/>
    <w:rsid w:val="7EEC4A0C"/>
    <w:rsid w:val="7EEF5C7E"/>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A17F6"/>
    <w:rsid w:val="7F4F5548"/>
    <w:rsid w:val="7F536DE1"/>
    <w:rsid w:val="7F6339F7"/>
    <w:rsid w:val="7F8660CD"/>
    <w:rsid w:val="7F8A2E2C"/>
    <w:rsid w:val="7F963419"/>
    <w:rsid w:val="7FA069EC"/>
    <w:rsid w:val="7FD277AE"/>
    <w:rsid w:val="7FDA2CD0"/>
    <w:rsid w:val="7FDB769F"/>
    <w:rsid w:val="7FEC7AE0"/>
    <w:rsid w:val="7FEE568F"/>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qFormat="1" w:unhideWhenUsed="0" w:uiPriority="0" w:semiHidden="0" w:name="endnote reference"/>
    <w:lsdException w:qFormat="1" w:unhideWhenUsed="0" w:uiPriority="0" w:semiHidden="0"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3"/>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7"/>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9"/>
    <w:qFormat/>
    <w:uiPriority w:val="0"/>
    <w:pPr>
      <w:spacing w:before="120"/>
      <w:outlineLvl w:val="2"/>
    </w:pPr>
    <w:rPr>
      <w:sz w:val="28"/>
    </w:rPr>
  </w:style>
  <w:style w:type="paragraph" w:styleId="5">
    <w:name w:val="heading 4"/>
    <w:basedOn w:val="4"/>
    <w:next w:val="1"/>
    <w:link w:val="77"/>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8"/>
    <w:qFormat/>
    <w:uiPriority w:val="0"/>
    <w:pPr>
      <w:tabs>
        <w:tab w:val="left" w:pos="2144"/>
        <w:tab w:val="clear" w:pos="2000"/>
      </w:tabs>
      <w:ind w:left="2144" w:hanging="1008"/>
      <w:outlineLvl w:val="4"/>
    </w:pPr>
    <w:rPr>
      <w:sz w:val="22"/>
    </w:rPr>
  </w:style>
  <w:style w:type="paragraph" w:styleId="7">
    <w:name w:val="heading 6"/>
    <w:basedOn w:val="1"/>
    <w:next w:val="1"/>
    <w:link w:val="66"/>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2"/>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8"/>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70"/>
    <w:qFormat/>
    <w:uiPriority w:val="0"/>
    <w:pPr>
      <w:tabs>
        <w:tab w:val="left" w:pos="2720"/>
        <w:tab w:val="clear" w:pos="2576"/>
      </w:tabs>
      <w:ind w:left="2720" w:hanging="1584"/>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2"/>
    <w:qFormat/>
    <w:uiPriority w:val="0"/>
    <w:pPr>
      <w:widowControl/>
      <w:spacing w:before="152" w:after="160"/>
    </w:pPr>
    <w:rPr>
      <w:rFonts w:ascii="Arial" w:hAnsi="Arial" w:eastAsia="黑体"/>
      <w:kern w:val="0"/>
      <w:sz w:val="20"/>
      <w:szCs w:val="20"/>
    </w:rPr>
  </w:style>
  <w:style w:type="paragraph" w:styleId="12">
    <w:name w:val="Document Map"/>
    <w:basedOn w:val="1"/>
    <w:link w:val="81"/>
    <w:unhideWhenUsed/>
    <w:qFormat/>
    <w:uiPriority w:val="99"/>
    <w:rPr>
      <w:rFonts w:ascii="宋体"/>
      <w:kern w:val="0"/>
      <w:sz w:val="18"/>
      <w:szCs w:val="18"/>
    </w:rPr>
  </w:style>
  <w:style w:type="paragraph" w:styleId="13">
    <w:name w:val="annotation text"/>
    <w:basedOn w:val="1"/>
    <w:link w:val="90"/>
    <w:unhideWhenUsed/>
    <w:qFormat/>
    <w:uiPriority w:val="99"/>
    <w:rPr>
      <w:sz w:val="20"/>
      <w:szCs w:val="20"/>
    </w:rPr>
  </w:style>
  <w:style w:type="paragraph" w:styleId="14">
    <w:name w:val="Body Text"/>
    <w:basedOn w:val="1"/>
    <w:link w:val="75"/>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endnote text"/>
    <w:basedOn w:val="1"/>
    <w:qFormat/>
    <w:uiPriority w:val="0"/>
    <w:pPr>
      <w:snapToGrid w:val="0"/>
      <w:jc w:val="left"/>
    </w:pPr>
  </w:style>
  <w:style w:type="paragraph" w:styleId="16">
    <w:name w:val="Balloon Text"/>
    <w:basedOn w:val="1"/>
    <w:link w:val="78"/>
    <w:unhideWhenUsed/>
    <w:qFormat/>
    <w:uiPriority w:val="99"/>
    <w:rPr>
      <w:sz w:val="18"/>
      <w:szCs w:val="18"/>
    </w:rPr>
  </w:style>
  <w:style w:type="paragraph" w:styleId="17">
    <w:name w:val="footer"/>
    <w:basedOn w:val="18"/>
    <w:link w:val="84"/>
    <w:unhideWhenUsed/>
    <w:qFormat/>
    <w:uiPriority w:val="99"/>
    <w:pPr>
      <w:tabs>
        <w:tab w:val="center" w:pos="4153"/>
        <w:tab w:val="right" w:pos="8306"/>
      </w:tabs>
      <w:jc w:val="left"/>
    </w:pPr>
  </w:style>
  <w:style w:type="paragraph" w:styleId="18">
    <w:name w:val="header"/>
    <w:basedOn w:val="1"/>
    <w:link w:val="80"/>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1">
    <w:name w:val="index 1"/>
    <w:basedOn w:val="1"/>
    <w:next w:val="1"/>
    <w:semiHidden/>
    <w:qFormat/>
    <w:uiPriority w:val="0"/>
    <w:pPr>
      <w:keepLines/>
      <w:spacing w:after="0"/>
    </w:pPr>
  </w:style>
  <w:style w:type="paragraph" w:styleId="22">
    <w:name w:val="index 2"/>
    <w:basedOn w:val="21"/>
    <w:next w:val="1"/>
    <w:semiHidden/>
    <w:qFormat/>
    <w:uiPriority w:val="0"/>
    <w:pPr>
      <w:ind w:left="284"/>
    </w:pPr>
  </w:style>
  <w:style w:type="paragraph" w:styleId="23">
    <w:name w:val="annotation subject"/>
    <w:basedOn w:val="13"/>
    <w:next w:val="13"/>
    <w:link w:val="85"/>
    <w:unhideWhenUsed/>
    <w:qFormat/>
    <w:uiPriority w:val="99"/>
    <w:rPr>
      <w:b/>
      <w:bCs/>
    </w:r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7">
    <w:name w:val="Strong"/>
    <w:qFormat/>
    <w:uiPriority w:val="0"/>
    <w:rPr>
      <w:rFonts w:ascii="Calibri" w:hAnsi="Calibri" w:eastAsia="宋体" w:cs="Calibri"/>
      <w:bCs/>
      <w:sz w:val="24"/>
    </w:rPr>
  </w:style>
  <w:style w:type="character" w:styleId="28">
    <w:name w:val="endnote reference"/>
    <w:basedOn w:val="26"/>
    <w:qFormat/>
    <w:uiPriority w:val="0"/>
    <w:rPr>
      <w:vertAlign w:val="superscript"/>
    </w:rPr>
  </w:style>
  <w:style w:type="character" w:styleId="29">
    <w:name w:val="Emphasis"/>
    <w:qFormat/>
    <w:uiPriority w:val="20"/>
    <w:rPr>
      <w:color w:val="CC0000"/>
    </w:rPr>
  </w:style>
  <w:style w:type="character" w:styleId="30">
    <w:name w:val="Hyperlink"/>
    <w:qFormat/>
    <w:uiPriority w:val="0"/>
    <w:rPr>
      <w:color w:val="0000FF"/>
      <w:u w:val="single"/>
    </w:rPr>
  </w:style>
  <w:style w:type="character" w:styleId="31">
    <w:name w:val="annotation reference"/>
    <w:unhideWhenUsed/>
    <w:qFormat/>
    <w:uiPriority w:val="99"/>
    <w:rPr>
      <w:sz w:val="16"/>
      <w:szCs w:val="16"/>
    </w:rPr>
  </w:style>
  <w:style w:type="character" w:styleId="32">
    <w:name w:val="HTML Cite"/>
    <w:unhideWhenUsed/>
    <w:qFormat/>
    <w:uiPriority w:val="99"/>
    <w:rPr>
      <w:color w:val="008000"/>
    </w:rPr>
  </w:style>
  <w:style w:type="paragraph" w:customStyle="1" w:styleId="33">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4">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5">
    <w:name w:val="List Paragraph"/>
    <w:basedOn w:val="1"/>
    <w:qFormat/>
    <w:uiPriority w:val="34"/>
    <w:pPr>
      <w:ind w:firstLine="420" w:firstLineChars="200"/>
    </w:pPr>
  </w:style>
  <w:style w:type="paragraph" w:customStyle="1" w:styleId="36">
    <w:name w:val="TAH"/>
    <w:basedOn w:val="37"/>
    <w:link w:val="61"/>
    <w:qFormat/>
    <w:uiPriority w:val="99"/>
    <w:rPr>
      <w:b/>
    </w:rPr>
  </w:style>
  <w:style w:type="paragraph" w:customStyle="1" w:styleId="37">
    <w:name w:val="TAC"/>
    <w:basedOn w:val="38"/>
    <w:link w:val="76"/>
    <w:qFormat/>
    <w:uiPriority w:val="0"/>
    <w:pPr>
      <w:jc w:val="center"/>
    </w:pPr>
    <w:rPr>
      <w:rFonts w:eastAsia="Times New Roman"/>
      <w:lang w:eastAsia="ja-JP"/>
    </w:rPr>
  </w:style>
  <w:style w:type="paragraph" w:customStyle="1" w:styleId="38">
    <w:name w:val="TAL"/>
    <w:basedOn w:val="1"/>
    <w:link w:val="65"/>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9">
    <w:name w:val="正文1"/>
    <w:basedOn w:val="1"/>
    <w:link w:val="62"/>
    <w:qFormat/>
    <w:uiPriority w:val="0"/>
    <w:pPr>
      <w:adjustRightInd w:val="0"/>
      <w:spacing w:after="180"/>
    </w:pPr>
    <w:rPr>
      <w:kern w:val="0"/>
      <w:sz w:val="20"/>
      <w:szCs w:val="20"/>
    </w:rPr>
  </w:style>
  <w:style w:type="paragraph" w:customStyle="1" w:styleId="40">
    <w:name w:val="char char char"/>
    <w:basedOn w:val="39"/>
    <w:link w:val="79"/>
    <w:qFormat/>
    <w:uiPriority w:val="0"/>
    <w:pPr>
      <w:keepNext/>
      <w:keepLines/>
      <w:widowControl/>
      <w:spacing w:before="120"/>
      <w:ind w:firstLine="40"/>
      <w:outlineLvl w:val="2"/>
    </w:pPr>
    <w:rPr>
      <w:rFonts w:ascii="Arial" w:hAnsi="Arial"/>
      <w:sz w:val="24"/>
      <w:szCs w:val="28"/>
    </w:rPr>
  </w:style>
  <w:style w:type="paragraph" w:customStyle="1" w:styleId="41">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2">
    <w:name w:val="NO"/>
    <w:basedOn w:val="1"/>
    <w:link w:val="60"/>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4">
    <w:name w:val="EQ"/>
    <w:basedOn w:val="1"/>
    <w:next w:val="1"/>
    <w:qFormat/>
    <w:uiPriority w:val="0"/>
    <w:pPr>
      <w:keepLines/>
      <w:tabs>
        <w:tab w:val="center" w:pos="4536"/>
        <w:tab w:val="right" w:pos="9072"/>
      </w:tabs>
    </w:pPr>
  </w:style>
  <w:style w:type="paragraph" w:customStyle="1" w:styleId="45">
    <w:name w:val="Table_title"/>
    <w:basedOn w:val="1"/>
    <w:next w:val="33"/>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6">
    <w:name w:val="TH"/>
    <w:basedOn w:val="1"/>
    <w:link w:val="74"/>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7">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8">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9">
    <w:name w:val="TAN"/>
    <w:basedOn w:val="1"/>
    <w:link w:val="58"/>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0">
    <w:name w:val="TF"/>
    <w:basedOn w:val="46"/>
    <w:qFormat/>
    <w:uiPriority w:val="0"/>
    <w:pPr>
      <w:keepNext w:val="0"/>
      <w:spacing w:before="0" w:after="240"/>
    </w:pPr>
  </w:style>
  <w:style w:type="paragraph" w:customStyle="1" w:styleId="51">
    <w:name w:val="B1"/>
    <w:basedOn w:val="19"/>
    <w:link w:val="57"/>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2">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3">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4">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5">
    <w:name w:val="char char"/>
    <w:basedOn w:val="39"/>
    <w:link w:val="71"/>
    <w:qFormat/>
    <w:uiPriority w:val="0"/>
    <w:pPr>
      <w:spacing w:before="180" w:after="120"/>
      <w:outlineLvl w:val="1"/>
    </w:pPr>
    <w:rPr>
      <w:rFonts w:ascii="Arial" w:hAnsi="Arial"/>
      <w:sz w:val="28"/>
      <w:szCs w:val="32"/>
    </w:rPr>
  </w:style>
  <w:style w:type="paragraph" w:customStyle="1" w:styleId="56">
    <w:name w:val="Char"/>
    <w:basedOn w:val="35"/>
    <w:link w:val="73"/>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7">
    <w:name w:val="B1 Char"/>
    <w:link w:val="51"/>
    <w:qFormat/>
    <w:uiPriority w:val="0"/>
    <w:rPr>
      <w:rFonts w:ascii="Times New Roman" w:hAnsi="Times New Roman" w:eastAsia="MS Mincho"/>
      <w:lang w:val="en-GB" w:eastAsia="de-DE"/>
    </w:rPr>
  </w:style>
  <w:style w:type="character" w:customStyle="1" w:styleId="58">
    <w:name w:val="TAN Char"/>
    <w:link w:val="49"/>
    <w:qFormat/>
    <w:uiPriority w:val="0"/>
    <w:rPr>
      <w:rFonts w:ascii="Arial" w:hAnsi="Arial" w:eastAsia="宋体"/>
      <w:sz w:val="18"/>
      <w:szCs w:val="18"/>
      <w:lang w:val="en-GB"/>
    </w:rPr>
  </w:style>
  <w:style w:type="character" w:customStyle="1" w:styleId="59">
    <w:name w:val="默认段落字体1"/>
    <w:qFormat/>
    <w:uiPriority w:val="0"/>
  </w:style>
  <w:style w:type="character" w:customStyle="1" w:styleId="60">
    <w:name w:val="NO Char"/>
    <w:link w:val="42"/>
    <w:qFormat/>
    <w:uiPriority w:val="0"/>
    <w:rPr>
      <w:rFonts w:ascii="Times New Roman" w:hAnsi="Times New Roman" w:eastAsia="Times New Roman"/>
      <w:lang w:val="en-GB"/>
    </w:rPr>
  </w:style>
  <w:style w:type="character" w:customStyle="1" w:styleId="61">
    <w:name w:val="TAH Car"/>
    <w:link w:val="36"/>
    <w:qFormat/>
    <w:uiPriority w:val="99"/>
    <w:rPr>
      <w:rFonts w:ascii="Arial" w:hAnsi="Arial" w:eastAsia="Times New Roman" w:cs="Times New Roman"/>
      <w:b/>
      <w:kern w:val="0"/>
      <w:sz w:val="18"/>
      <w:szCs w:val="20"/>
      <w:lang w:val="en-GB" w:eastAsia="ja-JP"/>
    </w:rPr>
  </w:style>
  <w:style w:type="character" w:customStyle="1" w:styleId="62">
    <w:name w:val="正文1 Char"/>
    <w:link w:val="39"/>
    <w:qFormat/>
    <w:uiPriority w:val="0"/>
    <w:rPr>
      <w:rFonts w:ascii="Times New Roman" w:hAnsi="Times New Roman" w:eastAsia="宋体" w:cs="Times New Roman"/>
      <w:kern w:val="0"/>
      <w:sz w:val="20"/>
      <w:szCs w:val="20"/>
    </w:rPr>
  </w:style>
  <w:style w:type="character" w:customStyle="1" w:styleId="63">
    <w:name w:val="keyword"/>
    <w:basedOn w:val="26"/>
    <w:qFormat/>
    <w:uiPriority w:val="0"/>
  </w:style>
  <w:style w:type="character" w:customStyle="1" w:styleId="64">
    <w:name w:val="c-icon"/>
    <w:basedOn w:val="26"/>
    <w:qFormat/>
    <w:uiPriority w:val="0"/>
  </w:style>
  <w:style w:type="character" w:customStyle="1" w:styleId="65">
    <w:name w:val="TAL Char"/>
    <w:link w:val="38"/>
    <w:qFormat/>
    <w:uiPriority w:val="0"/>
    <w:rPr>
      <w:rFonts w:ascii="Arial" w:hAnsi="Arial"/>
      <w:sz w:val="18"/>
      <w:lang w:val="en-GB" w:eastAsia="en-US"/>
    </w:rPr>
  </w:style>
  <w:style w:type="character" w:customStyle="1" w:styleId="66">
    <w:name w:val="Heading 6 Char"/>
    <w:link w:val="7"/>
    <w:qFormat/>
    <w:uiPriority w:val="0"/>
    <w:rPr>
      <w:rFonts w:ascii="Arial" w:hAnsi="Arial" w:eastAsia="宋体"/>
      <w:lang w:val="en-GB" w:eastAsia="en-US"/>
    </w:rPr>
  </w:style>
  <w:style w:type="character" w:customStyle="1" w:styleId="67">
    <w:name w:val="c-icon14"/>
    <w:basedOn w:val="26"/>
    <w:qFormat/>
    <w:uiPriority w:val="0"/>
  </w:style>
  <w:style w:type="character" w:customStyle="1" w:styleId="68">
    <w:name w:val="Heading 8 Char"/>
    <w:link w:val="9"/>
    <w:qFormat/>
    <w:uiPriority w:val="0"/>
    <w:rPr>
      <w:rFonts w:ascii="Arial" w:hAnsi="Arial" w:eastAsia="宋体"/>
      <w:sz w:val="36"/>
      <w:lang w:val="en-GB" w:eastAsia="en-US"/>
    </w:rPr>
  </w:style>
  <w:style w:type="character" w:customStyle="1" w:styleId="69">
    <w:name w:val="op_dict_text2"/>
    <w:basedOn w:val="26"/>
    <w:qFormat/>
    <w:uiPriority w:val="0"/>
  </w:style>
  <w:style w:type="character" w:customStyle="1" w:styleId="70">
    <w:name w:val="Heading 9 Char"/>
    <w:link w:val="10"/>
    <w:qFormat/>
    <w:uiPriority w:val="0"/>
    <w:rPr>
      <w:rFonts w:ascii="Arial" w:hAnsi="Arial" w:eastAsia="宋体"/>
      <w:sz w:val="36"/>
      <w:lang w:val="en-GB" w:eastAsia="en-US"/>
    </w:rPr>
  </w:style>
  <w:style w:type="character" w:customStyle="1" w:styleId="71">
    <w:name w:val="char char Char"/>
    <w:link w:val="55"/>
    <w:qFormat/>
    <w:uiPriority w:val="0"/>
    <w:rPr>
      <w:rFonts w:ascii="Arial" w:hAnsi="Arial" w:eastAsia="宋体" w:cs="Times New Roman"/>
      <w:kern w:val="0"/>
      <w:sz w:val="28"/>
      <w:szCs w:val="32"/>
    </w:rPr>
  </w:style>
  <w:style w:type="character" w:customStyle="1" w:styleId="72">
    <w:name w:val="Caption Char"/>
    <w:link w:val="11"/>
    <w:qFormat/>
    <w:uiPriority w:val="0"/>
    <w:rPr>
      <w:rFonts w:ascii="Arial" w:hAnsi="Arial" w:eastAsia="黑体"/>
    </w:rPr>
  </w:style>
  <w:style w:type="character" w:customStyle="1" w:styleId="73">
    <w:name w:val="Char Char"/>
    <w:link w:val="56"/>
    <w:qFormat/>
    <w:uiPriority w:val="0"/>
    <w:rPr>
      <w:rFonts w:ascii="Arial" w:hAnsi="Arial"/>
      <w:sz w:val="32"/>
      <w:szCs w:val="36"/>
    </w:rPr>
  </w:style>
  <w:style w:type="character" w:customStyle="1" w:styleId="74">
    <w:name w:val="TH Char"/>
    <w:link w:val="46"/>
    <w:qFormat/>
    <w:uiPriority w:val="0"/>
    <w:rPr>
      <w:rFonts w:ascii="Arial" w:hAnsi="Arial" w:eastAsia="宋体"/>
      <w:b/>
      <w:bCs/>
      <w:lang w:val="en-GB"/>
    </w:rPr>
  </w:style>
  <w:style w:type="character" w:customStyle="1" w:styleId="75">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6">
    <w:name w:val="TAC Char"/>
    <w:basedOn w:val="26"/>
    <w:link w:val="37"/>
    <w:qFormat/>
    <w:uiPriority w:val="0"/>
    <w:rPr>
      <w:rFonts w:ascii="Arial" w:hAnsi="Arial" w:eastAsia="Times New Roman" w:cs="Times New Roman"/>
      <w:kern w:val="0"/>
      <w:sz w:val="18"/>
      <w:szCs w:val="20"/>
      <w:lang w:val="en-GB" w:eastAsia="ja-JP"/>
    </w:rPr>
  </w:style>
  <w:style w:type="character" w:customStyle="1" w:styleId="77">
    <w:name w:val="Heading 4 Char"/>
    <w:link w:val="5"/>
    <w:qFormat/>
    <w:uiPriority w:val="0"/>
    <w:rPr>
      <w:rFonts w:ascii="Arial" w:hAnsi="Arial" w:eastAsia="宋体"/>
      <w:sz w:val="24"/>
      <w:lang w:val="en-GB" w:eastAsia="en-US"/>
    </w:rPr>
  </w:style>
  <w:style w:type="character" w:customStyle="1" w:styleId="78">
    <w:name w:val="Balloon Text Char"/>
    <w:link w:val="16"/>
    <w:semiHidden/>
    <w:qFormat/>
    <w:uiPriority w:val="99"/>
    <w:rPr>
      <w:kern w:val="2"/>
      <w:sz w:val="18"/>
      <w:szCs w:val="18"/>
    </w:rPr>
  </w:style>
  <w:style w:type="character" w:customStyle="1" w:styleId="79">
    <w:name w:val="char char char Char"/>
    <w:link w:val="40"/>
    <w:qFormat/>
    <w:uiPriority w:val="0"/>
    <w:rPr>
      <w:rFonts w:ascii="Arial" w:hAnsi="Arial" w:eastAsia="宋体" w:cs="Times New Roman"/>
      <w:kern w:val="0"/>
      <w:sz w:val="24"/>
      <w:szCs w:val="28"/>
    </w:rPr>
  </w:style>
  <w:style w:type="character" w:customStyle="1" w:styleId="80">
    <w:name w:val="Header Char"/>
    <w:link w:val="18"/>
    <w:qFormat/>
    <w:uiPriority w:val="99"/>
    <w:rPr>
      <w:sz w:val="18"/>
      <w:szCs w:val="18"/>
    </w:rPr>
  </w:style>
  <w:style w:type="character" w:customStyle="1" w:styleId="81">
    <w:name w:val="Document Map Char"/>
    <w:link w:val="12"/>
    <w:semiHidden/>
    <w:qFormat/>
    <w:uiPriority w:val="99"/>
    <w:rPr>
      <w:rFonts w:ascii="宋体" w:eastAsia="宋体"/>
      <w:sz w:val="18"/>
      <w:szCs w:val="18"/>
    </w:rPr>
  </w:style>
  <w:style w:type="character" w:customStyle="1" w:styleId="82">
    <w:name w:val="Heading 7 Char"/>
    <w:link w:val="8"/>
    <w:qFormat/>
    <w:uiPriority w:val="0"/>
    <w:rPr>
      <w:rFonts w:ascii="Arial" w:hAnsi="Arial" w:eastAsia="宋体"/>
      <w:lang w:val="en-GB" w:eastAsia="en-US"/>
    </w:rPr>
  </w:style>
  <w:style w:type="character" w:customStyle="1" w:styleId="83">
    <w:name w:val="Heading 1 Char"/>
    <w:link w:val="2"/>
    <w:qFormat/>
    <w:uiPriority w:val="9"/>
    <w:rPr>
      <w:rFonts w:ascii="Cambria" w:hAnsi="Cambria" w:eastAsia="宋体" w:cs="Times New Roman"/>
      <w:b/>
      <w:bCs/>
      <w:kern w:val="32"/>
      <w:sz w:val="32"/>
      <w:szCs w:val="32"/>
      <w:lang w:val="en-US"/>
    </w:rPr>
  </w:style>
  <w:style w:type="character" w:customStyle="1" w:styleId="84">
    <w:name w:val="Footer Char"/>
    <w:link w:val="17"/>
    <w:qFormat/>
    <w:uiPriority w:val="99"/>
    <w:rPr>
      <w:sz w:val="18"/>
      <w:szCs w:val="18"/>
    </w:rPr>
  </w:style>
  <w:style w:type="character" w:customStyle="1" w:styleId="85">
    <w:name w:val="Comment Subject Char"/>
    <w:link w:val="23"/>
    <w:semiHidden/>
    <w:qFormat/>
    <w:uiPriority w:val="99"/>
    <w:rPr>
      <w:b/>
      <w:bCs/>
      <w:kern w:val="2"/>
      <w:lang w:eastAsia="zh-CN"/>
    </w:rPr>
  </w:style>
  <w:style w:type="character" w:customStyle="1" w:styleId="86">
    <w:name w:val="msoins"/>
    <w:basedOn w:val="26"/>
    <w:qFormat/>
    <w:uiPriority w:val="0"/>
  </w:style>
  <w:style w:type="character" w:customStyle="1" w:styleId="87">
    <w:name w:val="Heading 2 Char"/>
    <w:link w:val="3"/>
    <w:qFormat/>
    <w:uiPriority w:val="0"/>
    <w:rPr>
      <w:rFonts w:ascii="Arial" w:hAnsi="Arial"/>
      <w:sz w:val="32"/>
      <w:lang w:eastAsia="en-US"/>
    </w:rPr>
  </w:style>
  <w:style w:type="character" w:customStyle="1" w:styleId="88">
    <w:name w:val="Heading 5 Char"/>
    <w:link w:val="6"/>
    <w:qFormat/>
    <w:uiPriority w:val="0"/>
    <w:rPr>
      <w:rFonts w:ascii="Arial" w:hAnsi="Arial" w:eastAsia="宋体"/>
      <w:sz w:val="22"/>
      <w:lang w:val="en-GB" w:eastAsia="en-US"/>
    </w:rPr>
  </w:style>
  <w:style w:type="character" w:customStyle="1" w:styleId="89">
    <w:name w:val="Heading 3 Char"/>
    <w:link w:val="4"/>
    <w:qFormat/>
    <w:uiPriority w:val="0"/>
    <w:rPr>
      <w:rFonts w:ascii="Arial" w:hAnsi="Arial"/>
      <w:sz w:val="28"/>
      <w:lang w:eastAsia="en-US"/>
    </w:rPr>
  </w:style>
  <w:style w:type="character" w:customStyle="1" w:styleId="90">
    <w:name w:val="Comment Text Char"/>
    <w:link w:val="13"/>
    <w:semiHidden/>
    <w:qFormat/>
    <w:uiPriority w:val="99"/>
    <w:rPr>
      <w:kern w:val="2"/>
      <w:lang w:eastAsia="zh-CN"/>
    </w:rPr>
  </w:style>
  <w:style w:type="character" w:customStyle="1" w:styleId="91">
    <w:name w:val="op_dict3_lineone_result_tip"/>
    <w:qFormat/>
    <w:uiPriority w:val="0"/>
    <w:rPr>
      <w:color w:val="999999"/>
    </w:rPr>
  </w:style>
  <w:style w:type="character" w:styleId="92">
    <w:name w:val="Placeholder Text"/>
    <w:basedOn w:val="26"/>
    <w:semiHidden/>
    <w:qFormat/>
    <w:uiPriority w:val="99"/>
    <w:rPr>
      <w:color w:val="808080"/>
    </w:rPr>
  </w:style>
  <w:style w:type="paragraph" w:customStyle="1" w:styleId="93">
    <w:name w:val="3GPP Normal Text"/>
    <w:basedOn w:val="14"/>
    <w:qFormat/>
    <w:uiPriority w:val="0"/>
    <w:pPr>
      <w:spacing w:after="120"/>
      <w:ind w:left="1440" w:hanging="1440"/>
      <w:jc w:val="both"/>
    </w:pPr>
    <w:rPr>
      <w:rFonts w:eastAsia="MS Mincho"/>
      <w:sz w:val="22"/>
      <w:szCs w:val="24"/>
    </w:rPr>
  </w:style>
  <w:style w:type="paragraph" w:customStyle="1" w:styleId="94">
    <w:name w:val="CR Cover Page"/>
    <w:qFormat/>
    <w:uiPriority w:val="0"/>
    <w:pPr>
      <w:spacing w:after="120"/>
    </w:pPr>
    <w:rPr>
      <w:rFonts w:ascii="Arial" w:hAnsi="Arial" w:eastAsia="Times New Roman" w:cs="Times New Roman"/>
      <w:lang w:val="en-GB" w:eastAsia="en-US" w:bidi="ar-SA"/>
    </w:rPr>
  </w:style>
  <w:style w:type="character" w:customStyle="1" w:styleId="95">
    <w:name w:val="eop"/>
    <w:basedOn w:val="26"/>
    <w:qFormat/>
    <w:uiPriority w:val="0"/>
  </w:style>
  <w:style w:type="table" w:customStyle="1" w:styleId="96">
    <w:name w:val="网格型1"/>
    <w:basedOn w:val="24"/>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
    <w:name w:val="网格型2"/>
    <w:basedOn w:val="24"/>
    <w:qFormat/>
    <w:uiPriority w:val="39"/>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8">
    <w:name w:val="B2"/>
    <w:basedOn w:val="1"/>
    <w:qFormat/>
    <w:uiPriority w:val="0"/>
    <w:pPr>
      <w:ind w:left="851" w:hanging="284"/>
    </w:pPr>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oleObject" Target="embeddings/oleObject2.bin"/><Relationship Id="rId7" Type="http://schemas.openxmlformats.org/officeDocument/2006/relationships/image" Target="media/image2.wmf"/><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theme" Target="theme/theme1.xml"/><Relationship Id="rId32" Type="http://schemas.openxmlformats.org/officeDocument/2006/relationships/fontTable" Target="fontTable.xml"/><Relationship Id="rId31" Type="http://schemas.openxmlformats.org/officeDocument/2006/relationships/customXml" Target="../customXml/item2.xml"/><Relationship Id="rId30" Type="http://schemas.openxmlformats.org/officeDocument/2006/relationships/numbering" Target="numbering.xml"/><Relationship Id="rId3" Type="http://schemas.openxmlformats.org/officeDocument/2006/relationships/header" Target="header1.xml"/><Relationship Id="rId29" Type="http://schemas.openxmlformats.org/officeDocument/2006/relationships/customXml" Target="../customXml/item1.xml"/><Relationship Id="rId28" Type="http://schemas.openxmlformats.org/officeDocument/2006/relationships/image" Target="media/image13.png"/><Relationship Id="rId27" Type="http://schemas.openxmlformats.org/officeDocument/2006/relationships/image" Target="media/image12.wmf"/><Relationship Id="rId26" Type="http://schemas.openxmlformats.org/officeDocument/2006/relationships/oleObject" Target="embeddings/oleObject11.bin"/><Relationship Id="rId25" Type="http://schemas.openxmlformats.org/officeDocument/2006/relationships/oleObject" Target="embeddings/oleObject10.bin"/><Relationship Id="rId24" Type="http://schemas.openxmlformats.org/officeDocument/2006/relationships/oleObject" Target="embeddings/oleObject9.bin"/><Relationship Id="rId23" Type="http://schemas.openxmlformats.org/officeDocument/2006/relationships/oleObject" Target="embeddings/oleObject8.bin"/><Relationship Id="rId22" Type="http://schemas.openxmlformats.org/officeDocument/2006/relationships/oleObject" Target="embeddings/oleObject7.bin"/><Relationship Id="rId21" Type="http://schemas.openxmlformats.org/officeDocument/2006/relationships/image" Target="media/image11.wmf"/><Relationship Id="rId20" Type="http://schemas.openxmlformats.org/officeDocument/2006/relationships/oleObject" Target="embeddings/oleObject6.bin"/><Relationship Id="rId2" Type="http://schemas.openxmlformats.org/officeDocument/2006/relationships/settings" Target="settings.xml"/><Relationship Id="rId19" Type="http://schemas.openxmlformats.org/officeDocument/2006/relationships/image" Target="media/image10.wmf"/><Relationship Id="rId18" Type="http://schemas.openxmlformats.org/officeDocument/2006/relationships/oleObject" Target="embeddings/oleObject5.bin"/><Relationship Id="rId17" Type="http://schemas.openxmlformats.org/officeDocument/2006/relationships/image" Target="media/image9.png"/><Relationship Id="rId16" Type="http://schemas.openxmlformats.org/officeDocument/2006/relationships/image" Target="media/image8.png"/><Relationship Id="rId15" Type="http://schemas.openxmlformats.org/officeDocument/2006/relationships/image" Target="media/image7.png"/><Relationship Id="rId14" Type="http://schemas.openxmlformats.org/officeDocument/2006/relationships/image" Target="media/image6.png"/><Relationship Id="rId13" Type="http://schemas.openxmlformats.org/officeDocument/2006/relationships/image" Target="media/image5.png"/><Relationship Id="rId12" Type="http://schemas.openxmlformats.org/officeDocument/2006/relationships/oleObject" Target="embeddings/oleObject4.bin"/><Relationship Id="rId11" Type="http://schemas.openxmlformats.org/officeDocument/2006/relationships/image" Target="media/image4.w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6</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2022-09-30T15:00:28Z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